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42592" w14:textId="77777777" w:rsidR="005A709C" w:rsidRDefault="00B007F1">
      <w:pPr>
        <w:pStyle w:val="BodyText"/>
        <w:ind w:left="152"/>
        <w:rPr>
          <w:rFonts w:ascii="Times New Roman"/>
        </w:rPr>
      </w:pPr>
      <w:r>
        <w:rPr>
          <w:rFonts w:ascii="Times New Roman"/>
          <w:noProof/>
        </w:rPr>
        <w:drawing>
          <wp:inline distT="0" distB="0" distL="0" distR="0" wp14:anchorId="5370221B" wp14:editId="0FD95861">
            <wp:extent cx="1828799" cy="6598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28799" cy="659892"/>
                    </a:xfrm>
                    <a:prstGeom prst="rect">
                      <a:avLst/>
                    </a:prstGeom>
                  </pic:spPr>
                </pic:pic>
              </a:graphicData>
            </a:graphic>
          </wp:inline>
        </w:drawing>
      </w:r>
    </w:p>
    <w:p w14:paraId="0B823386" w14:textId="77777777" w:rsidR="005A709C" w:rsidRDefault="005A709C">
      <w:pPr>
        <w:pStyle w:val="BodyText"/>
        <w:spacing w:before="6"/>
        <w:rPr>
          <w:rFonts w:ascii="Times New Roman"/>
          <w:sz w:val="6"/>
        </w:rPr>
      </w:pPr>
    </w:p>
    <w:p w14:paraId="1CFF5B39" w14:textId="77777777" w:rsidR="005A709C" w:rsidRDefault="00B007F1">
      <w:pPr>
        <w:pStyle w:val="Heading1"/>
        <w:spacing w:after="55" w:line="355" w:lineRule="auto"/>
        <w:ind w:left="2818" w:right="2072" w:hanging="605"/>
      </w:pPr>
      <w:r>
        <w:t>Care Compare Five-Star Ratings of Nursing Homes Provider Rating Report for October 2025</w:t>
      </w:r>
    </w:p>
    <w:tbl>
      <w:tblPr>
        <w:tblW w:w="0" w:type="auto"/>
        <w:tblInd w:w="653"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2234"/>
        <w:gridCol w:w="2234"/>
        <w:gridCol w:w="2234"/>
        <w:gridCol w:w="2234"/>
      </w:tblGrid>
      <w:tr w:rsidR="005A709C" w14:paraId="48DAD3AD" w14:textId="77777777">
        <w:trPr>
          <w:trHeight w:val="544"/>
        </w:trPr>
        <w:tc>
          <w:tcPr>
            <w:tcW w:w="8936" w:type="dxa"/>
            <w:gridSpan w:val="4"/>
          </w:tcPr>
          <w:p w14:paraId="0B5B4E63" w14:textId="77777777" w:rsidR="005A709C" w:rsidRDefault="00B007F1">
            <w:pPr>
              <w:pStyle w:val="TableParagraph"/>
              <w:spacing w:before="17" w:line="247" w:lineRule="auto"/>
              <w:ind w:left="3611" w:right="2209" w:hanging="1378"/>
              <w:rPr>
                <w:b/>
                <w:sz w:val="20"/>
              </w:rPr>
            </w:pPr>
            <w:r>
              <w:rPr>
                <w:b/>
                <w:sz w:val="20"/>
              </w:rPr>
              <w:t xml:space="preserve">Ratings for </w:t>
            </w:r>
            <w:r>
              <w:rPr>
                <w:b/>
                <w:color w:val="000080"/>
                <w:sz w:val="20"/>
              </w:rPr>
              <w:t>Alice Hyde Medical Center (335127)</w:t>
            </w:r>
            <w:bookmarkStart w:id="0" w:name="5_Star_Ratings"/>
            <w:bookmarkEnd w:id="0"/>
            <w:r>
              <w:rPr>
                <w:b/>
                <w:color w:val="000080"/>
                <w:sz w:val="20"/>
              </w:rPr>
              <w:t xml:space="preserve"> Malone, New York</w:t>
            </w:r>
          </w:p>
        </w:tc>
      </w:tr>
      <w:tr w:rsidR="005A709C" w14:paraId="352AC44F" w14:textId="77777777">
        <w:trPr>
          <w:trHeight w:val="306"/>
        </w:trPr>
        <w:tc>
          <w:tcPr>
            <w:tcW w:w="2234" w:type="dxa"/>
          </w:tcPr>
          <w:p w14:paraId="0DF77808" w14:textId="77777777" w:rsidR="005A709C" w:rsidRDefault="00B007F1">
            <w:pPr>
              <w:pStyle w:val="TableParagraph"/>
              <w:spacing w:before="17"/>
              <w:ind w:left="262" w:right="259"/>
              <w:jc w:val="center"/>
              <w:rPr>
                <w:b/>
                <w:sz w:val="20"/>
              </w:rPr>
            </w:pPr>
            <w:r>
              <w:rPr>
                <w:b/>
                <w:sz w:val="20"/>
              </w:rPr>
              <w:t>Overall Quality</w:t>
            </w:r>
          </w:p>
        </w:tc>
        <w:tc>
          <w:tcPr>
            <w:tcW w:w="2234" w:type="dxa"/>
          </w:tcPr>
          <w:p w14:paraId="69C478C3" w14:textId="77777777" w:rsidR="005A709C" w:rsidRDefault="00B007F1">
            <w:pPr>
              <w:pStyle w:val="TableParagraph"/>
              <w:spacing w:before="17"/>
              <w:ind w:left="263" w:right="259"/>
              <w:jc w:val="center"/>
              <w:rPr>
                <w:b/>
                <w:sz w:val="20"/>
              </w:rPr>
            </w:pPr>
            <w:r>
              <w:rPr>
                <w:b/>
                <w:sz w:val="20"/>
              </w:rPr>
              <w:t>Health Inspection</w:t>
            </w:r>
          </w:p>
        </w:tc>
        <w:tc>
          <w:tcPr>
            <w:tcW w:w="2234" w:type="dxa"/>
          </w:tcPr>
          <w:p w14:paraId="3159B0F9" w14:textId="77777777" w:rsidR="005A709C" w:rsidRDefault="00B007F1">
            <w:pPr>
              <w:pStyle w:val="TableParagraph"/>
              <w:spacing w:before="17"/>
              <w:ind w:left="263" w:right="259"/>
              <w:jc w:val="center"/>
              <w:rPr>
                <w:b/>
                <w:sz w:val="20"/>
              </w:rPr>
            </w:pPr>
            <w:r>
              <w:rPr>
                <w:b/>
                <w:sz w:val="20"/>
              </w:rPr>
              <w:t>Quality Measures</w:t>
            </w:r>
          </w:p>
        </w:tc>
        <w:tc>
          <w:tcPr>
            <w:tcW w:w="2234" w:type="dxa"/>
          </w:tcPr>
          <w:p w14:paraId="58E71C05" w14:textId="77777777" w:rsidR="005A709C" w:rsidRDefault="00B007F1">
            <w:pPr>
              <w:pStyle w:val="TableParagraph"/>
              <w:spacing w:before="17"/>
              <w:ind w:left="745"/>
              <w:rPr>
                <w:b/>
                <w:sz w:val="20"/>
              </w:rPr>
            </w:pPr>
            <w:r>
              <w:rPr>
                <w:b/>
                <w:sz w:val="20"/>
              </w:rPr>
              <w:t>Staffing</w:t>
            </w:r>
          </w:p>
        </w:tc>
      </w:tr>
      <w:tr w:rsidR="005A709C" w14:paraId="681B9D38" w14:textId="77777777">
        <w:trPr>
          <w:trHeight w:val="460"/>
        </w:trPr>
        <w:tc>
          <w:tcPr>
            <w:tcW w:w="2234" w:type="dxa"/>
          </w:tcPr>
          <w:p w14:paraId="44B9D208" w14:textId="77777777" w:rsidR="005A709C" w:rsidRDefault="00B007F1">
            <w:pPr>
              <w:pStyle w:val="TableParagraph"/>
              <w:spacing w:before="112"/>
              <w:ind w:left="261" w:right="259"/>
              <w:jc w:val="center"/>
              <w:rPr>
                <w:rFonts w:ascii="Times New Roman" w:hAnsi="Times New Roman"/>
                <w:sz w:val="20"/>
              </w:rPr>
            </w:pPr>
            <w:r>
              <w:rPr>
                <w:rFonts w:ascii="Times New Roman" w:hAnsi="Times New Roman"/>
                <w:color w:val="000080"/>
                <w:w w:val="105"/>
                <w:sz w:val="20"/>
              </w:rPr>
              <w:t>★★★</w:t>
            </w:r>
          </w:p>
        </w:tc>
        <w:tc>
          <w:tcPr>
            <w:tcW w:w="2234" w:type="dxa"/>
          </w:tcPr>
          <w:p w14:paraId="27BB53C0" w14:textId="77777777" w:rsidR="005A709C" w:rsidRDefault="00B007F1">
            <w:pPr>
              <w:pStyle w:val="TableParagraph"/>
              <w:spacing w:before="112"/>
              <w:ind w:left="262" w:right="259"/>
              <w:jc w:val="center"/>
              <w:rPr>
                <w:rFonts w:ascii="Times New Roman" w:hAnsi="Times New Roman"/>
                <w:sz w:val="20"/>
              </w:rPr>
            </w:pPr>
            <w:r>
              <w:rPr>
                <w:rFonts w:ascii="Times New Roman" w:hAnsi="Times New Roman"/>
                <w:color w:val="000080"/>
                <w:w w:val="105"/>
                <w:sz w:val="20"/>
              </w:rPr>
              <w:t>★★★</w:t>
            </w:r>
          </w:p>
        </w:tc>
        <w:tc>
          <w:tcPr>
            <w:tcW w:w="2234" w:type="dxa"/>
          </w:tcPr>
          <w:p w14:paraId="5888B43B" w14:textId="77777777" w:rsidR="005A709C" w:rsidRDefault="00B007F1">
            <w:pPr>
              <w:pStyle w:val="TableParagraph"/>
              <w:spacing w:before="112"/>
              <w:ind w:left="263" w:right="259"/>
              <w:jc w:val="center"/>
              <w:rPr>
                <w:rFonts w:ascii="Times New Roman" w:hAnsi="Times New Roman"/>
                <w:sz w:val="20"/>
              </w:rPr>
            </w:pPr>
            <w:r>
              <w:rPr>
                <w:rFonts w:ascii="Times New Roman" w:hAnsi="Times New Roman"/>
                <w:color w:val="000080"/>
                <w:w w:val="105"/>
                <w:sz w:val="20"/>
              </w:rPr>
              <w:t>★★★★</w:t>
            </w:r>
          </w:p>
        </w:tc>
        <w:tc>
          <w:tcPr>
            <w:tcW w:w="2234" w:type="dxa"/>
          </w:tcPr>
          <w:p w14:paraId="0F772037" w14:textId="77777777" w:rsidR="005A709C" w:rsidRDefault="00B007F1">
            <w:pPr>
              <w:pStyle w:val="TableParagraph"/>
              <w:spacing w:before="112"/>
              <w:ind w:left="790"/>
              <w:rPr>
                <w:rFonts w:ascii="Times New Roman" w:hAnsi="Times New Roman"/>
                <w:sz w:val="20"/>
              </w:rPr>
            </w:pPr>
            <w:r>
              <w:rPr>
                <w:rFonts w:ascii="Times New Roman" w:hAnsi="Times New Roman"/>
                <w:color w:val="000080"/>
                <w:w w:val="105"/>
                <w:sz w:val="20"/>
              </w:rPr>
              <w:t>★★★★</w:t>
            </w:r>
          </w:p>
        </w:tc>
      </w:tr>
    </w:tbl>
    <w:p w14:paraId="066B52E0" w14:textId="77777777" w:rsidR="005A709C" w:rsidRDefault="00B007F1">
      <w:pPr>
        <w:spacing w:before="203"/>
        <w:ind w:left="629" w:right="87"/>
        <w:rPr>
          <w:i/>
          <w:sz w:val="20"/>
        </w:rPr>
      </w:pPr>
      <w:r>
        <w:rPr>
          <w:i/>
          <w:sz w:val="20"/>
        </w:rPr>
        <w:t>The Five-Star ratings provided above will be displayed for your nursing home on the Care Compare website on or around November 20, 2025. The health inspection rating incorporates data reported through September 30, 2025. The time periods for each of the quality measures that contribute to the Quality Measure (QM) rating can be found in the QM tables located later in this report. The staffing rating is based on payroll-based journal (PBJ) staffing data reported through the second calendar quarter of 2025.</w:t>
      </w:r>
    </w:p>
    <w:p w14:paraId="5E571392" w14:textId="77777777" w:rsidR="005A709C" w:rsidRDefault="00B007F1">
      <w:pPr>
        <w:pStyle w:val="Heading1"/>
        <w:spacing w:before="188"/>
        <w:ind w:left="269"/>
      </w:pPr>
      <w:r>
        <w:t>Helpline</w:t>
      </w:r>
    </w:p>
    <w:p w14:paraId="4D96AAB8" w14:textId="77777777" w:rsidR="005A709C" w:rsidRDefault="00B007F1">
      <w:pPr>
        <w:pStyle w:val="BodyText"/>
        <w:spacing w:before="179"/>
        <w:ind w:left="269" w:right="400"/>
      </w:pPr>
      <w:r>
        <w:t xml:space="preserve">The Five-Star Helpline will operate Monday - Friday </w:t>
      </w:r>
      <w:r>
        <w:rPr>
          <w:b/>
        </w:rPr>
        <w:t xml:space="preserve">November 17 - 21, 2025. </w:t>
      </w:r>
      <w:r>
        <w:t>Hours of operation will be from 9 am - 5 pm ET, 8 am - 4 pm CT, 7 am - 3 pm MT, and 6 am - 2 pm PT. The Helpline number is</w:t>
      </w:r>
    </w:p>
    <w:p w14:paraId="28203727" w14:textId="77777777" w:rsidR="005A709C" w:rsidRDefault="00B007F1">
      <w:pPr>
        <w:pStyle w:val="BodyText"/>
        <w:spacing w:line="237" w:lineRule="auto"/>
        <w:ind w:left="269" w:right="400"/>
      </w:pPr>
      <w:r>
        <w:t xml:space="preserve">1-800-839-9290. The Helpline will be available again </w:t>
      </w:r>
      <w:r>
        <w:rPr>
          <w:b/>
        </w:rPr>
        <w:t xml:space="preserve">December 1 - 5, 2025. </w:t>
      </w:r>
      <w:r>
        <w:t xml:space="preserve">During other times, direct </w:t>
      </w:r>
      <w:hyperlink r:id="rId8">
        <w:r>
          <w:t>inquiries to BetterCare@cms.hhs.gov</w:t>
        </w:r>
      </w:hyperlink>
      <w:r>
        <w:t xml:space="preserve"> as Helpline staff help respond to e-mail inquiries when the telephone Helpline is not operational.</w:t>
      </w:r>
    </w:p>
    <w:p w14:paraId="76F092A1" w14:textId="77777777" w:rsidR="005A709C" w:rsidRDefault="005A709C">
      <w:pPr>
        <w:pStyle w:val="BodyText"/>
        <w:spacing w:before="4"/>
        <w:rPr>
          <w:sz w:val="17"/>
        </w:rPr>
      </w:pPr>
    </w:p>
    <w:p w14:paraId="063624ED" w14:textId="77777777" w:rsidR="005A709C" w:rsidRDefault="00B007F1">
      <w:pPr>
        <w:pStyle w:val="Heading2"/>
        <w:ind w:left="269"/>
      </w:pPr>
      <w:r>
        <w:t>Important News</w:t>
      </w:r>
    </w:p>
    <w:p w14:paraId="66334414" w14:textId="77777777" w:rsidR="005A709C" w:rsidRDefault="005A709C">
      <w:pPr>
        <w:pStyle w:val="BodyText"/>
        <w:spacing w:before="1"/>
        <w:rPr>
          <w:b/>
          <w:i/>
        </w:rPr>
      </w:pPr>
    </w:p>
    <w:p w14:paraId="57C7A501" w14:textId="77777777" w:rsidR="005A709C" w:rsidRDefault="00B007F1">
      <w:pPr>
        <w:pStyle w:val="Heading3"/>
        <w:ind w:left="269"/>
      </w:pPr>
      <w:r>
        <w:t>Health Inspection Rating: Dropping cycle 3 standard survey.</w:t>
      </w:r>
    </w:p>
    <w:p w14:paraId="21120D3A" w14:textId="77777777" w:rsidR="005A709C" w:rsidRDefault="005A709C">
      <w:pPr>
        <w:pStyle w:val="BodyText"/>
        <w:spacing w:before="8"/>
        <w:rPr>
          <w:b/>
          <w:sz w:val="19"/>
        </w:rPr>
      </w:pPr>
    </w:p>
    <w:p w14:paraId="4C923932" w14:textId="77777777" w:rsidR="005A709C" w:rsidRDefault="00B007F1">
      <w:pPr>
        <w:pStyle w:val="BodyText"/>
        <w:ind w:left="269" w:right="359"/>
      </w:pPr>
      <w:r>
        <w:t xml:space="preserve">Beginning in July 2025, CMS implemented a change to the methodology for calculating the health inspection rating, shifting from using the three most recent standard health inspection surveys to the two most recent standard health inspection surveys. CMS will continue to use a three-year lookback period for complaint and infection control inspections. In calculating the total weighted health inspection score, the most recent standard health inspection survey as well as the most recent 12 months of complaint </w:t>
      </w:r>
      <w:r>
        <w:t>and infection control surveys are assigned a weighting factor of 3/4. The second most recent standard health inspection survey as well as complaint and infection control surveys from 13-36 months ago are assigned a weighting factor of 1/4. Survey dates are listed in the Health Inspections section of this report under headers that indicate which weighting factor is assigned.</w:t>
      </w:r>
    </w:p>
    <w:p w14:paraId="20A905D0" w14:textId="77777777" w:rsidR="005A709C" w:rsidRDefault="005A709C">
      <w:pPr>
        <w:pStyle w:val="BodyText"/>
        <w:spacing w:before="3"/>
        <w:rPr>
          <w:sz w:val="18"/>
        </w:rPr>
      </w:pPr>
    </w:p>
    <w:p w14:paraId="0F50BD74" w14:textId="77777777" w:rsidR="005A709C" w:rsidRDefault="00B007F1">
      <w:pPr>
        <w:pStyle w:val="BodyText"/>
        <w:ind w:left="269" w:right="658"/>
      </w:pPr>
      <w:r>
        <w:t xml:space="preserve">While not used in the rating calculation or listed in this report, the third most recent standard health inspection survey and associated deficiencies will continue to be displayed on Care Compare and in the Provider Data Catalog (PDC). See </w:t>
      </w:r>
      <w:hyperlink r:id="rId9">
        <w:r>
          <w:rPr>
            <w:color w:val="0000FF"/>
          </w:rPr>
          <w:t xml:space="preserve">QSO-25-20-NH </w:t>
        </w:r>
      </w:hyperlink>
      <w:r>
        <w:t xml:space="preserve">and the </w:t>
      </w:r>
      <w:hyperlink r:id="rId10">
        <w:r>
          <w:rPr>
            <w:color w:val="0000FF"/>
          </w:rPr>
          <w:t>Nursing Home Care Compare Five Star</w:t>
        </w:r>
      </w:hyperlink>
      <w:r>
        <w:rPr>
          <w:color w:val="0000FF"/>
        </w:rPr>
        <w:t xml:space="preserve"> </w:t>
      </w:r>
      <w:hyperlink r:id="rId11">
        <w:r>
          <w:rPr>
            <w:color w:val="0000FF"/>
          </w:rPr>
          <w:t>Technical Users’</w:t>
        </w:r>
      </w:hyperlink>
      <w:r>
        <w:rPr>
          <w:color w:val="0000FF"/>
        </w:rPr>
        <w:t xml:space="preserve"> Guide </w:t>
      </w:r>
      <w:r>
        <w:t>for more information.</w:t>
      </w:r>
    </w:p>
    <w:p w14:paraId="2780CA28" w14:textId="77777777" w:rsidR="005A709C" w:rsidRDefault="005A709C">
      <w:pPr>
        <w:sectPr w:rsidR="005A709C">
          <w:type w:val="continuous"/>
          <w:pgSz w:w="12240" w:h="15840"/>
          <w:pgMar w:top="720" w:right="1120" w:bottom="280" w:left="1000" w:header="720" w:footer="720" w:gutter="0"/>
          <w:cols w:space="720"/>
        </w:sectPr>
      </w:pPr>
    </w:p>
    <w:p w14:paraId="12D83128" w14:textId="77777777" w:rsidR="005A709C" w:rsidRDefault="005A709C">
      <w:pPr>
        <w:pStyle w:val="BodyText"/>
        <w:spacing w:before="2"/>
        <w:rPr>
          <w:sz w:val="14"/>
        </w:rPr>
      </w:pPr>
    </w:p>
    <w:p w14:paraId="0AE29018" w14:textId="77777777" w:rsidR="005A709C" w:rsidRDefault="00B007F1">
      <w:pPr>
        <w:pStyle w:val="Heading1"/>
      </w:pPr>
      <w:r>
        <w:t>Health Inspections</w:t>
      </w:r>
    </w:p>
    <w:p w14:paraId="30BEA3EA" w14:textId="77777777" w:rsidR="005A709C" w:rsidRDefault="00B007F1">
      <w:pPr>
        <w:pStyle w:val="BodyText"/>
        <w:spacing w:before="218"/>
        <w:ind w:left="197" w:right="520"/>
      </w:pPr>
      <w:r>
        <w:t>The Five-Star health inspection rating listed on the first page of this report is based on the two most recent standard surveys and three years of complaint and focused infection control inspections and incorporates data reported through September 30, 2025.</w:t>
      </w:r>
    </w:p>
    <w:p w14:paraId="1CA30E85" w14:textId="77777777" w:rsidR="005A709C" w:rsidRDefault="005A709C">
      <w:pPr>
        <w:pStyle w:val="BodyText"/>
        <w:spacing w:before="3"/>
        <w:rPr>
          <w:sz w:val="22"/>
        </w:rPr>
      </w:pPr>
    </w:p>
    <w:p w14:paraId="3670B4DF" w14:textId="77777777" w:rsidR="005A709C" w:rsidRDefault="00B007F1">
      <w:pPr>
        <w:pStyle w:val="Heading2"/>
      </w:pPr>
      <w:r>
        <w:t>Your Health Inspection Rating</w:t>
      </w:r>
    </w:p>
    <w:p w14:paraId="1CD79D77" w14:textId="77777777" w:rsidR="005A709C" w:rsidRDefault="005A709C">
      <w:pPr>
        <w:pStyle w:val="BodyText"/>
        <w:spacing w:before="3"/>
        <w:rPr>
          <w:b/>
          <w:i/>
          <w:sz w:val="19"/>
        </w:rPr>
      </w:pPr>
    </w:p>
    <w:p w14:paraId="16C09887" w14:textId="77777777" w:rsidR="005A709C" w:rsidRDefault="00B007F1">
      <w:pPr>
        <w:pStyle w:val="BodyText"/>
        <w:ind w:left="197" w:right="592"/>
      </w:pPr>
      <w:r>
        <w:t xml:space="preserve">Provided below are the survey dates included in the calculation of the health inspection rating for your facility. The dates listed include standard survey dates as well as dates of complaint inspections and focused infection control inspections that resulted in deficiencies. For more detailed information about the deficiencies cited on each survey, please visit: </w:t>
      </w:r>
      <w:r>
        <w:rPr>
          <w:color w:val="4169E0"/>
        </w:rPr>
        <w:t>https://data.cms.gov/provider-data/</w:t>
      </w:r>
      <w:r>
        <w:t>. This website updates on the same day as the Care Compare website. Any additional revisit points can be found in the 'Provider Information' table at the link provided above.</w:t>
      </w:r>
    </w:p>
    <w:p w14:paraId="75A832A7" w14:textId="77777777" w:rsidR="005A709C" w:rsidRDefault="005A709C">
      <w:pPr>
        <w:pStyle w:val="BodyText"/>
        <w:spacing w:before="11"/>
        <w:rPr>
          <w:sz w:val="21"/>
        </w:rPr>
      </w:pPr>
    </w:p>
    <w:p w14:paraId="50AC3909" w14:textId="77777777" w:rsidR="005A709C" w:rsidRDefault="00B007F1">
      <w:pPr>
        <w:ind w:left="197"/>
        <w:rPr>
          <w:i/>
          <w:sz w:val="20"/>
        </w:rPr>
      </w:pPr>
      <w:r>
        <w:rPr>
          <w:i/>
          <w:sz w:val="20"/>
        </w:rPr>
        <w:t>Health Inspection Surveys Weighted at 3/4 (standard survey in bold):</w:t>
      </w:r>
    </w:p>
    <w:p w14:paraId="7A14FE95" w14:textId="77777777" w:rsidR="005A709C" w:rsidRDefault="005A709C">
      <w:pPr>
        <w:pStyle w:val="BodyText"/>
        <w:spacing w:before="6"/>
        <w:rPr>
          <w:i/>
          <w:sz w:val="26"/>
        </w:rPr>
      </w:pPr>
    </w:p>
    <w:p w14:paraId="1277A50D" w14:textId="77777777" w:rsidR="005A709C" w:rsidRDefault="00B007F1">
      <w:pPr>
        <w:ind w:left="262"/>
        <w:rPr>
          <w:b/>
          <w:sz w:val="20"/>
        </w:rPr>
      </w:pPr>
      <w:r>
        <w:rPr>
          <w:b/>
          <w:color w:val="000080"/>
          <w:sz w:val="20"/>
        </w:rPr>
        <w:t>August 18, 2022</w:t>
      </w:r>
    </w:p>
    <w:p w14:paraId="13038E36" w14:textId="77777777" w:rsidR="005A709C" w:rsidRDefault="005A709C">
      <w:pPr>
        <w:pStyle w:val="BodyText"/>
        <w:spacing w:before="6"/>
        <w:rPr>
          <w:b/>
          <w:sz w:val="26"/>
        </w:rPr>
      </w:pPr>
    </w:p>
    <w:p w14:paraId="0A7360B9" w14:textId="77777777" w:rsidR="005A709C" w:rsidRDefault="00B007F1">
      <w:pPr>
        <w:spacing w:before="1"/>
        <w:ind w:left="197"/>
        <w:rPr>
          <w:i/>
          <w:sz w:val="20"/>
        </w:rPr>
      </w:pPr>
      <w:r>
        <w:rPr>
          <w:i/>
          <w:sz w:val="20"/>
        </w:rPr>
        <w:t>Health Inspection Surveys Weighted at 1/4 (standard survey in bold):</w:t>
      </w:r>
    </w:p>
    <w:p w14:paraId="0752480A" w14:textId="77777777" w:rsidR="005A709C" w:rsidRDefault="005A709C">
      <w:pPr>
        <w:pStyle w:val="BodyText"/>
        <w:spacing w:before="6"/>
        <w:rPr>
          <w:i/>
          <w:sz w:val="26"/>
        </w:rPr>
      </w:pPr>
    </w:p>
    <w:p w14:paraId="7AA26F43" w14:textId="77777777" w:rsidR="005A709C" w:rsidRDefault="00B007F1">
      <w:pPr>
        <w:tabs>
          <w:tab w:val="left" w:pos="3420"/>
        </w:tabs>
        <w:ind w:left="262"/>
        <w:rPr>
          <w:sz w:val="20"/>
        </w:rPr>
      </w:pPr>
      <w:r>
        <w:rPr>
          <w:b/>
          <w:color w:val="000080"/>
          <w:sz w:val="20"/>
        </w:rPr>
        <w:t>January 31, 2020</w:t>
      </w:r>
      <w:r>
        <w:rPr>
          <w:b/>
          <w:color w:val="000080"/>
          <w:sz w:val="20"/>
        </w:rPr>
        <w:tab/>
      </w:r>
      <w:r>
        <w:rPr>
          <w:color w:val="000080"/>
          <w:sz w:val="20"/>
        </w:rPr>
        <w:t>May 25, 2023</w:t>
      </w:r>
    </w:p>
    <w:p w14:paraId="4493500E" w14:textId="77777777" w:rsidR="005A709C" w:rsidRDefault="005A709C">
      <w:pPr>
        <w:pStyle w:val="BodyText"/>
        <w:spacing w:before="6"/>
        <w:rPr>
          <w:sz w:val="26"/>
        </w:rPr>
      </w:pPr>
    </w:p>
    <w:p w14:paraId="62730685" w14:textId="77777777" w:rsidR="005A709C" w:rsidRDefault="00B007F1">
      <w:pPr>
        <w:ind w:left="197"/>
        <w:rPr>
          <w:i/>
          <w:sz w:val="20"/>
        </w:rPr>
      </w:pPr>
      <w:r>
        <w:rPr>
          <w:i/>
          <w:sz w:val="20"/>
        </w:rPr>
        <w:t xml:space="preserve">Total weighted health inspection score for your facility: </w:t>
      </w:r>
      <w:r>
        <w:rPr>
          <w:i/>
          <w:color w:val="000080"/>
          <w:sz w:val="20"/>
        </w:rPr>
        <w:t>26.0</w:t>
      </w:r>
    </w:p>
    <w:p w14:paraId="71CE098F" w14:textId="77777777" w:rsidR="005A709C" w:rsidRDefault="005A709C">
      <w:pPr>
        <w:pStyle w:val="BodyText"/>
        <w:spacing w:before="4"/>
        <w:rPr>
          <w:i/>
          <w:sz w:val="21"/>
        </w:rPr>
      </w:pPr>
    </w:p>
    <w:tbl>
      <w:tblPr>
        <w:tblW w:w="0" w:type="auto"/>
        <w:tblInd w:w="862"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1632"/>
        <w:gridCol w:w="1632"/>
        <w:gridCol w:w="1632"/>
        <w:gridCol w:w="1632"/>
        <w:gridCol w:w="1632"/>
      </w:tblGrid>
      <w:tr w:rsidR="005A709C" w14:paraId="405B7C09" w14:textId="77777777">
        <w:trPr>
          <w:trHeight w:val="306"/>
        </w:trPr>
        <w:tc>
          <w:tcPr>
            <w:tcW w:w="8160" w:type="dxa"/>
            <w:gridSpan w:val="5"/>
          </w:tcPr>
          <w:p w14:paraId="0851ACB6" w14:textId="77777777" w:rsidR="005A709C" w:rsidRDefault="00B007F1">
            <w:pPr>
              <w:pStyle w:val="TableParagraph"/>
              <w:spacing w:before="17"/>
              <w:ind w:left="1524" w:right="1523"/>
              <w:jc w:val="center"/>
              <w:rPr>
                <w:b/>
                <w:sz w:val="20"/>
              </w:rPr>
            </w:pPr>
            <w:r>
              <w:rPr>
                <w:b/>
                <w:sz w:val="20"/>
              </w:rPr>
              <w:t xml:space="preserve">State-level Health Inspection Cut Points for </w:t>
            </w:r>
            <w:r>
              <w:rPr>
                <w:b/>
                <w:color w:val="000080"/>
                <w:sz w:val="20"/>
              </w:rPr>
              <w:t>New York</w:t>
            </w:r>
          </w:p>
        </w:tc>
      </w:tr>
      <w:tr w:rsidR="005A709C" w14:paraId="553D915F" w14:textId="77777777">
        <w:trPr>
          <w:trHeight w:val="307"/>
        </w:trPr>
        <w:tc>
          <w:tcPr>
            <w:tcW w:w="1632" w:type="dxa"/>
          </w:tcPr>
          <w:p w14:paraId="10B24EC6" w14:textId="77777777" w:rsidR="005A709C" w:rsidRDefault="00B007F1">
            <w:pPr>
              <w:pStyle w:val="TableParagraph"/>
              <w:spacing w:before="17"/>
              <w:ind w:left="260" w:right="257"/>
              <w:jc w:val="center"/>
              <w:rPr>
                <w:b/>
                <w:sz w:val="20"/>
              </w:rPr>
            </w:pPr>
            <w:r>
              <w:rPr>
                <w:b/>
                <w:sz w:val="20"/>
              </w:rPr>
              <w:t>1 Star</w:t>
            </w:r>
          </w:p>
        </w:tc>
        <w:tc>
          <w:tcPr>
            <w:tcW w:w="1632" w:type="dxa"/>
          </w:tcPr>
          <w:p w14:paraId="2384ABD1" w14:textId="77777777" w:rsidR="005A709C" w:rsidRDefault="00B007F1">
            <w:pPr>
              <w:pStyle w:val="TableParagraph"/>
              <w:spacing w:before="17"/>
              <w:ind w:left="260" w:right="256"/>
              <w:jc w:val="center"/>
              <w:rPr>
                <w:b/>
                <w:sz w:val="20"/>
              </w:rPr>
            </w:pPr>
            <w:r>
              <w:rPr>
                <w:b/>
                <w:sz w:val="20"/>
              </w:rPr>
              <w:t>2 Stars</w:t>
            </w:r>
          </w:p>
        </w:tc>
        <w:tc>
          <w:tcPr>
            <w:tcW w:w="1632" w:type="dxa"/>
          </w:tcPr>
          <w:p w14:paraId="33C03902" w14:textId="77777777" w:rsidR="005A709C" w:rsidRDefault="00B007F1">
            <w:pPr>
              <w:pStyle w:val="TableParagraph"/>
              <w:spacing w:before="17"/>
              <w:ind w:left="260" w:right="256"/>
              <w:jc w:val="center"/>
              <w:rPr>
                <w:b/>
                <w:sz w:val="20"/>
              </w:rPr>
            </w:pPr>
            <w:r>
              <w:rPr>
                <w:b/>
                <w:sz w:val="20"/>
              </w:rPr>
              <w:t>3 Stars</w:t>
            </w:r>
          </w:p>
        </w:tc>
        <w:tc>
          <w:tcPr>
            <w:tcW w:w="1632" w:type="dxa"/>
          </w:tcPr>
          <w:p w14:paraId="7057D186" w14:textId="77777777" w:rsidR="005A709C" w:rsidRDefault="00B007F1">
            <w:pPr>
              <w:pStyle w:val="TableParagraph"/>
              <w:spacing w:before="17"/>
              <w:ind w:left="260" w:right="256"/>
              <w:jc w:val="center"/>
              <w:rPr>
                <w:b/>
                <w:sz w:val="20"/>
              </w:rPr>
            </w:pPr>
            <w:r>
              <w:rPr>
                <w:b/>
                <w:sz w:val="20"/>
              </w:rPr>
              <w:t>4 Stars</w:t>
            </w:r>
          </w:p>
        </w:tc>
        <w:tc>
          <w:tcPr>
            <w:tcW w:w="1632" w:type="dxa"/>
          </w:tcPr>
          <w:p w14:paraId="740DECAD" w14:textId="77777777" w:rsidR="005A709C" w:rsidRDefault="00B007F1">
            <w:pPr>
              <w:pStyle w:val="TableParagraph"/>
              <w:spacing w:before="17"/>
              <w:ind w:left="260" w:right="256"/>
              <w:jc w:val="center"/>
              <w:rPr>
                <w:b/>
                <w:sz w:val="20"/>
              </w:rPr>
            </w:pPr>
            <w:r>
              <w:rPr>
                <w:b/>
                <w:sz w:val="20"/>
              </w:rPr>
              <w:t>5 Stars</w:t>
            </w:r>
          </w:p>
        </w:tc>
      </w:tr>
      <w:tr w:rsidR="005A709C" w14:paraId="22BD2C9D" w14:textId="77777777">
        <w:trPr>
          <w:trHeight w:val="306"/>
        </w:trPr>
        <w:tc>
          <w:tcPr>
            <w:tcW w:w="1632" w:type="dxa"/>
          </w:tcPr>
          <w:p w14:paraId="35FED256" w14:textId="77777777" w:rsidR="005A709C" w:rsidRDefault="00B007F1">
            <w:pPr>
              <w:pStyle w:val="TableParagraph"/>
              <w:spacing w:before="17"/>
              <w:ind w:left="260" w:right="258"/>
              <w:jc w:val="center"/>
              <w:rPr>
                <w:sz w:val="20"/>
              </w:rPr>
            </w:pPr>
            <w:r>
              <w:rPr>
                <w:color w:val="000080"/>
                <w:sz w:val="20"/>
              </w:rPr>
              <w:t>&gt;61.25</w:t>
            </w:r>
          </w:p>
        </w:tc>
        <w:tc>
          <w:tcPr>
            <w:tcW w:w="1632" w:type="dxa"/>
          </w:tcPr>
          <w:p w14:paraId="0BD80B81" w14:textId="77777777" w:rsidR="005A709C" w:rsidRDefault="00B007F1">
            <w:pPr>
              <w:pStyle w:val="TableParagraph"/>
              <w:spacing w:before="17"/>
              <w:ind w:left="260" w:right="259"/>
              <w:jc w:val="center"/>
              <w:rPr>
                <w:sz w:val="20"/>
              </w:rPr>
            </w:pPr>
            <w:r>
              <w:rPr>
                <w:color w:val="000080"/>
                <w:sz w:val="20"/>
              </w:rPr>
              <w:t>37.01-61.25</w:t>
            </w:r>
          </w:p>
        </w:tc>
        <w:tc>
          <w:tcPr>
            <w:tcW w:w="1632" w:type="dxa"/>
          </w:tcPr>
          <w:p w14:paraId="7A3E1AAB" w14:textId="77777777" w:rsidR="005A709C" w:rsidRDefault="00B007F1">
            <w:pPr>
              <w:pStyle w:val="TableParagraph"/>
              <w:spacing w:before="17"/>
              <w:ind w:left="260" w:right="259"/>
              <w:jc w:val="center"/>
              <w:rPr>
                <w:sz w:val="20"/>
              </w:rPr>
            </w:pPr>
            <w:r>
              <w:rPr>
                <w:color w:val="000080"/>
                <w:sz w:val="20"/>
              </w:rPr>
              <w:t>22.01-37.00</w:t>
            </w:r>
          </w:p>
        </w:tc>
        <w:tc>
          <w:tcPr>
            <w:tcW w:w="1632" w:type="dxa"/>
          </w:tcPr>
          <w:p w14:paraId="3B9204E9" w14:textId="77777777" w:rsidR="005A709C" w:rsidRDefault="00B007F1">
            <w:pPr>
              <w:pStyle w:val="TableParagraph"/>
              <w:spacing w:before="17"/>
              <w:ind w:left="260" w:right="259"/>
              <w:jc w:val="center"/>
              <w:rPr>
                <w:sz w:val="20"/>
              </w:rPr>
            </w:pPr>
            <w:r>
              <w:rPr>
                <w:color w:val="000080"/>
                <w:sz w:val="20"/>
              </w:rPr>
              <w:t>10.01-22.00</w:t>
            </w:r>
          </w:p>
        </w:tc>
        <w:tc>
          <w:tcPr>
            <w:tcW w:w="1632" w:type="dxa"/>
          </w:tcPr>
          <w:p w14:paraId="6BD342F9" w14:textId="77777777" w:rsidR="005A709C" w:rsidRDefault="00B007F1">
            <w:pPr>
              <w:pStyle w:val="TableParagraph"/>
              <w:spacing w:before="17"/>
              <w:ind w:left="260" w:right="259"/>
              <w:jc w:val="center"/>
              <w:rPr>
                <w:sz w:val="20"/>
              </w:rPr>
            </w:pPr>
            <w:r>
              <w:rPr>
                <w:color w:val="000080"/>
                <w:sz w:val="20"/>
              </w:rPr>
              <w:t>0.00-10.00</w:t>
            </w:r>
          </w:p>
        </w:tc>
      </w:tr>
    </w:tbl>
    <w:p w14:paraId="4E655B13" w14:textId="77777777" w:rsidR="005A709C" w:rsidRDefault="005A709C">
      <w:pPr>
        <w:pStyle w:val="BodyText"/>
        <w:spacing w:before="8"/>
        <w:rPr>
          <w:i/>
          <w:sz w:val="17"/>
        </w:rPr>
      </w:pPr>
    </w:p>
    <w:p w14:paraId="2163D227" w14:textId="77777777" w:rsidR="005A709C" w:rsidRDefault="00B007F1">
      <w:pPr>
        <w:pStyle w:val="BodyText"/>
        <w:ind w:left="197" w:right="574"/>
      </w:pPr>
      <w:r>
        <w:t>Please note that the state cut points are recalculated each month, but the total weighted health inspection score for your facility is compared to the cut points only if there is a change in your score.</w:t>
      </w:r>
    </w:p>
    <w:p w14:paraId="0D81EB60" w14:textId="77777777" w:rsidR="005A709C" w:rsidRDefault="005A709C">
      <w:pPr>
        <w:sectPr w:rsidR="005A709C">
          <w:headerReference w:type="default" r:id="rId12"/>
          <w:pgSz w:w="12240" w:h="15840"/>
          <w:pgMar w:top="1020" w:right="1120" w:bottom="280" w:left="1000" w:header="805" w:footer="0" w:gutter="0"/>
          <w:pgNumType w:start="2"/>
          <w:cols w:space="720"/>
        </w:sectPr>
      </w:pPr>
    </w:p>
    <w:p w14:paraId="4C2F871C" w14:textId="77777777" w:rsidR="005A709C" w:rsidRDefault="005A709C">
      <w:pPr>
        <w:pStyle w:val="BodyText"/>
        <w:rPr>
          <w:sz w:val="9"/>
        </w:rPr>
      </w:pPr>
    </w:p>
    <w:p w14:paraId="565F10B7" w14:textId="77777777" w:rsidR="005A709C" w:rsidRDefault="00B007F1">
      <w:pPr>
        <w:spacing w:before="92"/>
        <w:ind w:left="127"/>
        <w:rPr>
          <w:b/>
          <w:i/>
          <w:sz w:val="24"/>
        </w:rPr>
      </w:pPr>
      <w:r>
        <w:rPr>
          <w:b/>
          <w:i/>
          <w:sz w:val="24"/>
        </w:rPr>
        <w:t>Citations under IDR/IIDR</w:t>
      </w:r>
    </w:p>
    <w:p w14:paraId="18112AA1" w14:textId="77777777" w:rsidR="005A709C" w:rsidRDefault="00B007F1">
      <w:pPr>
        <w:pStyle w:val="BodyText"/>
        <w:spacing w:before="179"/>
        <w:ind w:left="127" w:right="445"/>
      </w:pPr>
      <w:r>
        <w:t>Below is a listing of health inspection citations for your nursing home that are under IDR or IIDR. These citations are reported on the Care Compare website; however, they are not included in the health inspection rating.</w:t>
      </w:r>
    </w:p>
    <w:p w14:paraId="659D1669" w14:textId="77777777" w:rsidR="005A709C" w:rsidRDefault="00B007F1">
      <w:pPr>
        <w:spacing w:before="174"/>
        <w:ind w:left="127"/>
        <w:rPr>
          <w:i/>
          <w:sz w:val="20"/>
        </w:rPr>
      </w:pPr>
      <w:r>
        <w:rPr>
          <w:i/>
          <w:color w:val="0000FF"/>
          <w:sz w:val="20"/>
        </w:rPr>
        <w:t>Your nursing home has no health inspection citations under IDR/IIDR.</w:t>
      </w:r>
    </w:p>
    <w:p w14:paraId="5671B5A0" w14:textId="77777777" w:rsidR="005A709C" w:rsidRDefault="005A709C">
      <w:pPr>
        <w:rPr>
          <w:sz w:val="20"/>
        </w:rPr>
        <w:sectPr w:rsidR="005A709C">
          <w:pgSz w:w="12240" w:h="15840"/>
          <w:pgMar w:top="1020" w:right="1120" w:bottom="280" w:left="1000" w:header="805" w:footer="0" w:gutter="0"/>
          <w:cols w:space="720"/>
        </w:sectPr>
      </w:pPr>
    </w:p>
    <w:p w14:paraId="6351A226" w14:textId="77777777" w:rsidR="005A709C" w:rsidRDefault="005A709C">
      <w:pPr>
        <w:pStyle w:val="BodyText"/>
        <w:spacing w:before="7"/>
        <w:rPr>
          <w:i/>
          <w:sz w:val="14"/>
        </w:rPr>
      </w:pPr>
    </w:p>
    <w:p w14:paraId="4DC682A4" w14:textId="77777777" w:rsidR="005A709C" w:rsidRDefault="00B007F1">
      <w:pPr>
        <w:pStyle w:val="Heading3"/>
        <w:spacing w:before="94"/>
        <w:ind w:left="1909" w:right="2147"/>
        <w:jc w:val="center"/>
      </w:pPr>
      <w:r>
        <w:t>Long-Stay Quality Measures that are Included in the QM Rating</w:t>
      </w:r>
    </w:p>
    <w:p w14:paraId="538EAA90" w14:textId="77777777" w:rsidR="005A709C" w:rsidRDefault="005A709C">
      <w:pPr>
        <w:pStyle w:val="BodyText"/>
        <w:spacing w:before="4"/>
        <w:rPr>
          <w:b/>
          <w:sz w:val="21"/>
        </w:rPr>
      </w:pPr>
    </w:p>
    <w:tbl>
      <w:tblPr>
        <w:tblW w:w="0" w:type="auto"/>
        <w:tblInd w:w="231"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3264"/>
        <w:gridCol w:w="770"/>
        <w:gridCol w:w="770"/>
        <w:gridCol w:w="770"/>
        <w:gridCol w:w="770"/>
        <w:gridCol w:w="770"/>
        <w:gridCol w:w="770"/>
        <w:gridCol w:w="770"/>
        <w:gridCol w:w="768"/>
      </w:tblGrid>
      <w:tr w:rsidR="005A709C" w14:paraId="51E08135" w14:textId="77777777">
        <w:trPr>
          <w:trHeight w:val="273"/>
        </w:trPr>
        <w:tc>
          <w:tcPr>
            <w:tcW w:w="3264" w:type="dxa"/>
          </w:tcPr>
          <w:p w14:paraId="2332401D" w14:textId="77777777" w:rsidR="005A709C" w:rsidRDefault="005A709C">
            <w:pPr>
              <w:pStyle w:val="TableParagraph"/>
              <w:spacing w:before="0"/>
              <w:rPr>
                <w:rFonts w:ascii="Times New Roman"/>
                <w:sz w:val="16"/>
              </w:rPr>
            </w:pPr>
          </w:p>
        </w:tc>
        <w:tc>
          <w:tcPr>
            <w:tcW w:w="4620" w:type="dxa"/>
            <w:gridSpan w:val="6"/>
          </w:tcPr>
          <w:p w14:paraId="59D25E4B" w14:textId="77777777" w:rsidR="005A709C" w:rsidRDefault="00B007F1">
            <w:pPr>
              <w:pStyle w:val="TableParagraph"/>
              <w:ind w:left="1676" w:right="1671"/>
              <w:jc w:val="center"/>
              <w:rPr>
                <w:b/>
                <w:sz w:val="16"/>
              </w:rPr>
            </w:pPr>
            <w:r>
              <w:rPr>
                <w:b/>
                <w:color w:val="000080"/>
                <w:sz w:val="16"/>
              </w:rPr>
              <w:t>Provider 335127</w:t>
            </w:r>
          </w:p>
        </w:tc>
        <w:tc>
          <w:tcPr>
            <w:tcW w:w="770" w:type="dxa"/>
          </w:tcPr>
          <w:p w14:paraId="76784134" w14:textId="77777777" w:rsidR="005A709C" w:rsidRDefault="00B007F1">
            <w:pPr>
              <w:pStyle w:val="TableParagraph"/>
              <w:ind w:left="78" w:right="72"/>
              <w:jc w:val="center"/>
              <w:rPr>
                <w:b/>
                <w:sz w:val="16"/>
              </w:rPr>
            </w:pPr>
            <w:r>
              <w:rPr>
                <w:b/>
                <w:color w:val="800080"/>
                <w:sz w:val="16"/>
              </w:rPr>
              <w:t>NY</w:t>
            </w:r>
          </w:p>
        </w:tc>
        <w:tc>
          <w:tcPr>
            <w:tcW w:w="768" w:type="dxa"/>
          </w:tcPr>
          <w:p w14:paraId="7E6A5F8C" w14:textId="77777777" w:rsidR="005A709C" w:rsidRDefault="00B007F1">
            <w:pPr>
              <w:pStyle w:val="TableParagraph"/>
              <w:ind w:left="97" w:right="88"/>
              <w:jc w:val="center"/>
              <w:rPr>
                <w:b/>
                <w:sz w:val="16"/>
              </w:rPr>
            </w:pPr>
            <w:r>
              <w:rPr>
                <w:b/>
                <w:sz w:val="16"/>
              </w:rPr>
              <w:t>US</w:t>
            </w:r>
          </w:p>
        </w:tc>
      </w:tr>
      <w:tr w:rsidR="005A709C" w14:paraId="528D0FF1" w14:textId="77777777">
        <w:trPr>
          <w:trHeight w:val="463"/>
        </w:trPr>
        <w:tc>
          <w:tcPr>
            <w:tcW w:w="3264" w:type="dxa"/>
          </w:tcPr>
          <w:p w14:paraId="2CC9B821" w14:textId="77777777" w:rsidR="005A709C" w:rsidRDefault="005A709C">
            <w:pPr>
              <w:pStyle w:val="TableParagraph"/>
              <w:spacing w:before="11"/>
              <w:rPr>
                <w:b/>
                <w:sz w:val="18"/>
              </w:rPr>
            </w:pPr>
          </w:p>
          <w:p w14:paraId="51A996B7" w14:textId="77777777" w:rsidR="005A709C" w:rsidRDefault="00B007F1">
            <w:pPr>
              <w:pStyle w:val="TableParagraph"/>
              <w:spacing w:before="0"/>
              <w:ind w:left="59"/>
              <w:rPr>
                <w:b/>
                <w:sz w:val="16"/>
              </w:rPr>
            </w:pPr>
            <w:r>
              <w:rPr>
                <w:b/>
                <w:sz w:val="16"/>
              </w:rPr>
              <w:t>MDS Long-Stay Measures</w:t>
            </w:r>
          </w:p>
        </w:tc>
        <w:tc>
          <w:tcPr>
            <w:tcW w:w="770" w:type="dxa"/>
          </w:tcPr>
          <w:p w14:paraId="7207C451" w14:textId="77777777" w:rsidR="005A709C" w:rsidRDefault="005A709C">
            <w:pPr>
              <w:pStyle w:val="TableParagraph"/>
              <w:spacing w:before="11"/>
              <w:rPr>
                <w:b/>
                <w:sz w:val="18"/>
              </w:rPr>
            </w:pPr>
          </w:p>
          <w:p w14:paraId="2F034F76" w14:textId="77777777" w:rsidR="005A709C" w:rsidRDefault="00B007F1">
            <w:pPr>
              <w:pStyle w:val="TableParagraph"/>
              <w:spacing w:before="0"/>
              <w:ind w:left="76" w:right="74"/>
              <w:jc w:val="center"/>
              <w:rPr>
                <w:b/>
                <w:sz w:val="16"/>
              </w:rPr>
            </w:pPr>
            <w:r>
              <w:rPr>
                <w:b/>
                <w:color w:val="000080"/>
                <w:sz w:val="16"/>
              </w:rPr>
              <w:t>2024Q3</w:t>
            </w:r>
          </w:p>
        </w:tc>
        <w:tc>
          <w:tcPr>
            <w:tcW w:w="770" w:type="dxa"/>
          </w:tcPr>
          <w:p w14:paraId="2D0C3B68" w14:textId="77777777" w:rsidR="005A709C" w:rsidRDefault="005A709C">
            <w:pPr>
              <w:pStyle w:val="TableParagraph"/>
              <w:spacing w:before="11"/>
              <w:rPr>
                <w:b/>
                <w:sz w:val="18"/>
              </w:rPr>
            </w:pPr>
          </w:p>
          <w:p w14:paraId="494FE0F1" w14:textId="77777777" w:rsidR="005A709C" w:rsidRDefault="00B007F1">
            <w:pPr>
              <w:pStyle w:val="TableParagraph"/>
              <w:spacing w:before="0"/>
              <w:ind w:left="77" w:right="74"/>
              <w:jc w:val="center"/>
              <w:rPr>
                <w:b/>
                <w:sz w:val="16"/>
              </w:rPr>
            </w:pPr>
            <w:r>
              <w:rPr>
                <w:b/>
                <w:color w:val="000080"/>
                <w:sz w:val="16"/>
              </w:rPr>
              <w:t>2024Q4</w:t>
            </w:r>
          </w:p>
        </w:tc>
        <w:tc>
          <w:tcPr>
            <w:tcW w:w="770" w:type="dxa"/>
          </w:tcPr>
          <w:p w14:paraId="1875676D" w14:textId="77777777" w:rsidR="005A709C" w:rsidRDefault="005A709C">
            <w:pPr>
              <w:pStyle w:val="TableParagraph"/>
              <w:spacing w:before="11"/>
              <w:rPr>
                <w:b/>
                <w:sz w:val="18"/>
              </w:rPr>
            </w:pPr>
          </w:p>
          <w:p w14:paraId="6B0D8D52" w14:textId="77777777" w:rsidR="005A709C" w:rsidRDefault="00B007F1">
            <w:pPr>
              <w:pStyle w:val="TableParagraph"/>
              <w:spacing w:before="0"/>
              <w:ind w:left="78" w:right="74"/>
              <w:jc w:val="center"/>
              <w:rPr>
                <w:b/>
                <w:sz w:val="16"/>
              </w:rPr>
            </w:pPr>
            <w:r>
              <w:rPr>
                <w:b/>
                <w:color w:val="000080"/>
                <w:sz w:val="16"/>
              </w:rPr>
              <w:t>2025Q1</w:t>
            </w:r>
          </w:p>
        </w:tc>
        <w:tc>
          <w:tcPr>
            <w:tcW w:w="770" w:type="dxa"/>
          </w:tcPr>
          <w:p w14:paraId="01F382FF" w14:textId="77777777" w:rsidR="005A709C" w:rsidRDefault="005A709C">
            <w:pPr>
              <w:pStyle w:val="TableParagraph"/>
              <w:spacing w:before="11"/>
              <w:rPr>
                <w:b/>
                <w:sz w:val="18"/>
              </w:rPr>
            </w:pPr>
          </w:p>
          <w:p w14:paraId="75F51C04" w14:textId="77777777" w:rsidR="005A709C" w:rsidRDefault="00B007F1">
            <w:pPr>
              <w:pStyle w:val="TableParagraph"/>
              <w:spacing w:before="0"/>
              <w:ind w:left="97"/>
              <w:rPr>
                <w:b/>
                <w:sz w:val="16"/>
              </w:rPr>
            </w:pPr>
            <w:r>
              <w:rPr>
                <w:b/>
                <w:color w:val="000080"/>
                <w:sz w:val="16"/>
              </w:rPr>
              <w:t>2025Q2</w:t>
            </w:r>
          </w:p>
        </w:tc>
        <w:tc>
          <w:tcPr>
            <w:tcW w:w="770" w:type="dxa"/>
          </w:tcPr>
          <w:p w14:paraId="5740CC2D" w14:textId="77777777" w:rsidR="005A709C" w:rsidRDefault="005A709C">
            <w:pPr>
              <w:pStyle w:val="TableParagraph"/>
              <w:spacing w:before="11"/>
              <w:rPr>
                <w:b/>
                <w:sz w:val="18"/>
              </w:rPr>
            </w:pPr>
          </w:p>
          <w:p w14:paraId="6BE5BB87" w14:textId="77777777" w:rsidR="005A709C" w:rsidRDefault="00B007F1">
            <w:pPr>
              <w:pStyle w:val="TableParagraph"/>
              <w:spacing w:before="0"/>
              <w:ind w:right="109"/>
              <w:jc w:val="right"/>
              <w:rPr>
                <w:b/>
                <w:sz w:val="16"/>
              </w:rPr>
            </w:pPr>
            <w:r>
              <w:rPr>
                <w:b/>
                <w:color w:val="000080"/>
                <w:sz w:val="16"/>
              </w:rPr>
              <w:t>4Q avg</w:t>
            </w:r>
          </w:p>
        </w:tc>
        <w:tc>
          <w:tcPr>
            <w:tcW w:w="770" w:type="dxa"/>
          </w:tcPr>
          <w:p w14:paraId="67581A6F" w14:textId="77777777" w:rsidR="005A709C" w:rsidRDefault="00B007F1">
            <w:pPr>
              <w:pStyle w:val="TableParagraph"/>
              <w:spacing w:line="247" w:lineRule="auto"/>
              <w:ind w:left="138" w:right="114" w:hanging="5"/>
              <w:rPr>
                <w:b/>
                <w:sz w:val="16"/>
              </w:rPr>
            </w:pPr>
            <w:r>
              <w:rPr>
                <w:b/>
                <w:color w:val="000080"/>
                <w:sz w:val="16"/>
              </w:rPr>
              <w:t>Rating Points</w:t>
            </w:r>
          </w:p>
        </w:tc>
        <w:tc>
          <w:tcPr>
            <w:tcW w:w="770" w:type="dxa"/>
          </w:tcPr>
          <w:p w14:paraId="39FAFFD9" w14:textId="77777777" w:rsidR="005A709C" w:rsidRDefault="005A709C">
            <w:pPr>
              <w:pStyle w:val="TableParagraph"/>
              <w:spacing w:before="11"/>
              <w:rPr>
                <w:b/>
                <w:sz w:val="18"/>
              </w:rPr>
            </w:pPr>
          </w:p>
          <w:p w14:paraId="6D35F468" w14:textId="77777777" w:rsidR="005A709C" w:rsidRDefault="00B007F1">
            <w:pPr>
              <w:pStyle w:val="TableParagraph"/>
              <w:spacing w:before="0"/>
              <w:ind w:left="78" w:right="74"/>
              <w:jc w:val="center"/>
              <w:rPr>
                <w:b/>
                <w:sz w:val="16"/>
              </w:rPr>
            </w:pPr>
            <w:r>
              <w:rPr>
                <w:b/>
                <w:color w:val="800080"/>
                <w:sz w:val="16"/>
              </w:rPr>
              <w:t>4Q avg</w:t>
            </w:r>
          </w:p>
        </w:tc>
        <w:tc>
          <w:tcPr>
            <w:tcW w:w="768" w:type="dxa"/>
          </w:tcPr>
          <w:p w14:paraId="49EE2C0C" w14:textId="77777777" w:rsidR="005A709C" w:rsidRDefault="005A709C">
            <w:pPr>
              <w:pStyle w:val="TableParagraph"/>
              <w:spacing w:before="11"/>
              <w:rPr>
                <w:b/>
                <w:sz w:val="18"/>
              </w:rPr>
            </w:pPr>
          </w:p>
          <w:p w14:paraId="511CA259" w14:textId="77777777" w:rsidR="005A709C" w:rsidRDefault="00B007F1">
            <w:pPr>
              <w:pStyle w:val="TableParagraph"/>
              <w:spacing w:before="0"/>
              <w:ind w:right="105"/>
              <w:jc w:val="right"/>
              <w:rPr>
                <w:b/>
                <w:sz w:val="16"/>
              </w:rPr>
            </w:pPr>
            <w:r>
              <w:rPr>
                <w:b/>
                <w:sz w:val="16"/>
              </w:rPr>
              <w:t>4Q avg</w:t>
            </w:r>
          </w:p>
        </w:tc>
      </w:tr>
      <w:tr w:rsidR="005A709C" w14:paraId="61B6005B" w14:textId="77777777">
        <w:trPr>
          <w:trHeight w:val="273"/>
        </w:trPr>
        <w:tc>
          <w:tcPr>
            <w:tcW w:w="3264" w:type="dxa"/>
            <w:shd w:val="clear" w:color="auto" w:fill="CCCCCC"/>
          </w:tcPr>
          <w:p w14:paraId="08A961B4" w14:textId="77777777" w:rsidR="005A709C" w:rsidRDefault="00B007F1">
            <w:pPr>
              <w:pStyle w:val="TableParagraph"/>
              <w:ind w:left="59"/>
              <w:rPr>
                <w:i/>
                <w:sz w:val="16"/>
              </w:rPr>
            </w:pPr>
            <w:r>
              <w:rPr>
                <w:i/>
                <w:sz w:val="16"/>
              </w:rPr>
              <w:t>Lower percentages are better.</w:t>
            </w:r>
          </w:p>
        </w:tc>
        <w:tc>
          <w:tcPr>
            <w:tcW w:w="770" w:type="dxa"/>
            <w:shd w:val="clear" w:color="auto" w:fill="CCCCCC"/>
          </w:tcPr>
          <w:p w14:paraId="6515DF00" w14:textId="77777777" w:rsidR="005A709C" w:rsidRDefault="005A709C">
            <w:pPr>
              <w:pStyle w:val="TableParagraph"/>
              <w:spacing w:before="0"/>
              <w:rPr>
                <w:rFonts w:ascii="Times New Roman"/>
                <w:sz w:val="16"/>
              </w:rPr>
            </w:pPr>
          </w:p>
        </w:tc>
        <w:tc>
          <w:tcPr>
            <w:tcW w:w="770" w:type="dxa"/>
            <w:shd w:val="clear" w:color="auto" w:fill="CCCCCC"/>
          </w:tcPr>
          <w:p w14:paraId="1318EE13" w14:textId="77777777" w:rsidR="005A709C" w:rsidRDefault="005A709C">
            <w:pPr>
              <w:pStyle w:val="TableParagraph"/>
              <w:spacing w:before="0"/>
              <w:rPr>
                <w:rFonts w:ascii="Times New Roman"/>
                <w:sz w:val="16"/>
              </w:rPr>
            </w:pPr>
          </w:p>
        </w:tc>
        <w:tc>
          <w:tcPr>
            <w:tcW w:w="770" w:type="dxa"/>
            <w:shd w:val="clear" w:color="auto" w:fill="CCCCCC"/>
          </w:tcPr>
          <w:p w14:paraId="3E721808" w14:textId="77777777" w:rsidR="005A709C" w:rsidRDefault="005A709C">
            <w:pPr>
              <w:pStyle w:val="TableParagraph"/>
              <w:spacing w:before="0"/>
              <w:rPr>
                <w:rFonts w:ascii="Times New Roman"/>
                <w:sz w:val="16"/>
              </w:rPr>
            </w:pPr>
          </w:p>
        </w:tc>
        <w:tc>
          <w:tcPr>
            <w:tcW w:w="770" w:type="dxa"/>
            <w:shd w:val="clear" w:color="auto" w:fill="CCCCCC"/>
          </w:tcPr>
          <w:p w14:paraId="3A10CF89" w14:textId="77777777" w:rsidR="005A709C" w:rsidRDefault="005A709C">
            <w:pPr>
              <w:pStyle w:val="TableParagraph"/>
              <w:spacing w:before="0"/>
              <w:rPr>
                <w:rFonts w:ascii="Times New Roman"/>
                <w:sz w:val="16"/>
              </w:rPr>
            </w:pPr>
          </w:p>
        </w:tc>
        <w:tc>
          <w:tcPr>
            <w:tcW w:w="770" w:type="dxa"/>
            <w:shd w:val="clear" w:color="auto" w:fill="CCCCCC"/>
          </w:tcPr>
          <w:p w14:paraId="31F69270" w14:textId="77777777" w:rsidR="005A709C" w:rsidRDefault="005A709C">
            <w:pPr>
              <w:pStyle w:val="TableParagraph"/>
              <w:spacing w:before="0"/>
              <w:rPr>
                <w:rFonts w:ascii="Times New Roman"/>
                <w:sz w:val="16"/>
              </w:rPr>
            </w:pPr>
          </w:p>
        </w:tc>
        <w:tc>
          <w:tcPr>
            <w:tcW w:w="770" w:type="dxa"/>
            <w:shd w:val="clear" w:color="auto" w:fill="CCCCCC"/>
          </w:tcPr>
          <w:p w14:paraId="5B5C9A18" w14:textId="77777777" w:rsidR="005A709C" w:rsidRDefault="005A709C">
            <w:pPr>
              <w:pStyle w:val="TableParagraph"/>
              <w:spacing w:before="0"/>
              <w:rPr>
                <w:rFonts w:ascii="Times New Roman"/>
                <w:sz w:val="16"/>
              </w:rPr>
            </w:pPr>
          </w:p>
        </w:tc>
        <w:tc>
          <w:tcPr>
            <w:tcW w:w="770" w:type="dxa"/>
            <w:shd w:val="clear" w:color="auto" w:fill="CCCCCC"/>
          </w:tcPr>
          <w:p w14:paraId="0A906888" w14:textId="77777777" w:rsidR="005A709C" w:rsidRDefault="005A709C">
            <w:pPr>
              <w:pStyle w:val="TableParagraph"/>
              <w:spacing w:before="0"/>
              <w:rPr>
                <w:rFonts w:ascii="Times New Roman"/>
                <w:sz w:val="16"/>
              </w:rPr>
            </w:pPr>
          </w:p>
        </w:tc>
        <w:tc>
          <w:tcPr>
            <w:tcW w:w="768" w:type="dxa"/>
            <w:shd w:val="clear" w:color="auto" w:fill="CCCCCC"/>
          </w:tcPr>
          <w:p w14:paraId="6106ECC4" w14:textId="77777777" w:rsidR="005A709C" w:rsidRDefault="005A709C">
            <w:pPr>
              <w:pStyle w:val="TableParagraph"/>
              <w:spacing w:before="0"/>
              <w:rPr>
                <w:rFonts w:ascii="Times New Roman"/>
                <w:sz w:val="16"/>
              </w:rPr>
            </w:pPr>
          </w:p>
        </w:tc>
      </w:tr>
      <w:tr w:rsidR="005A709C" w14:paraId="2110CDA3" w14:textId="77777777">
        <w:trPr>
          <w:trHeight w:val="458"/>
        </w:trPr>
        <w:tc>
          <w:tcPr>
            <w:tcW w:w="3264" w:type="dxa"/>
          </w:tcPr>
          <w:p w14:paraId="1E388524" w14:textId="77777777" w:rsidR="005A709C" w:rsidRDefault="00B007F1">
            <w:pPr>
              <w:pStyle w:val="TableParagraph"/>
              <w:ind w:left="59" w:right="133"/>
              <w:rPr>
                <w:sz w:val="16"/>
              </w:rPr>
            </w:pPr>
            <w:r>
              <w:rPr>
                <w:sz w:val="16"/>
              </w:rPr>
              <w:t>Percentage of residents experiencing one or more falls with major injury</w:t>
            </w:r>
          </w:p>
        </w:tc>
        <w:tc>
          <w:tcPr>
            <w:tcW w:w="770" w:type="dxa"/>
          </w:tcPr>
          <w:p w14:paraId="795886FF" w14:textId="77777777" w:rsidR="005A709C" w:rsidRDefault="00B007F1">
            <w:pPr>
              <w:pStyle w:val="TableParagraph"/>
              <w:ind w:left="75" w:right="74"/>
              <w:jc w:val="center"/>
              <w:rPr>
                <w:sz w:val="16"/>
              </w:rPr>
            </w:pPr>
            <w:r>
              <w:rPr>
                <w:color w:val="000080"/>
                <w:sz w:val="16"/>
              </w:rPr>
              <w:t>1.8%</w:t>
            </w:r>
          </w:p>
        </w:tc>
        <w:tc>
          <w:tcPr>
            <w:tcW w:w="770" w:type="dxa"/>
          </w:tcPr>
          <w:p w14:paraId="543FEB6F" w14:textId="77777777" w:rsidR="005A709C" w:rsidRDefault="00B007F1">
            <w:pPr>
              <w:pStyle w:val="TableParagraph"/>
              <w:ind w:left="76" w:right="74"/>
              <w:jc w:val="center"/>
              <w:rPr>
                <w:sz w:val="16"/>
              </w:rPr>
            </w:pPr>
            <w:r>
              <w:rPr>
                <w:color w:val="000080"/>
                <w:sz w:val="16"/>
              </w:rPr>
              <w:t>0.9%</w:t>
            </w:r>
          </w:p>
        </w:tc>
        <w:tc>
          <w:tcPr>
            <w:tcW w:w="770" w:type="dxa"/>
          </w:tcPr>
          <w:p w14:paraId="3337D279" w14:textId="77777777" w:rsidR="005A709C" w:rsidRDefault="00B007F1">
            <w:pPr>
              <w:pStyle w:val="TableParagraph"/>
              <w:ind w:left="77" w:right="74"/>
              <w:jc w:val="center"/>
              <w:rPr>
                <w:sz w:val="16"/>
              </w:rPr>
            </w:pPr>
            <w:r>
              <w:rPr>
                <w:color w:val="000080"/>
                <w:sz w:val="16"/>
              </w:rPr>
              <w:t>3.4%</w:t>
            </w:r>
          </w:p>
        </w:tc>
        <w:tc>
          <w:tcPr>
            <w:tcW w:w="770" w:type="dxa"/>
          </w:tcPr>
          <w:p w14:paraId="7F923AEE" w14:textId="77777777" w:rsidR="005A709C" w:rsidRDefault="00B007F1">
            <w:pPr>
              <w:pStyle w:val="TableParagraph"/>
              <w:ind w:left="200"/>
              <w:rPr>
                <w:sz w:val="16"/>
              </w:rPr>
            </w:pPr>
            <w:r>
              <w:rPr>
                <w:color w:val="000080"/>
                <w:sz w:val="16"/>
              </w:rPr>
              <w:t>2.6%</w:t>
            </w:r>
          </w:p>
        </w:tc>
        <w:tc>
          <w:tcPr>
            <w:tcW w:w="770" w:type="dxa"/>
          </w:tcPr>
          <w:p w14:paraId="27EBA789" w14:textId="77777777" w:rsidR="005A709C" w:rsidRDefault="00B007F1">
            <w:pPr>
              <w:pStyle w:val="TableParagraph"/>
              <w:ind w:right="193"/>
              <w:jc w:val="right"/>
              <w:rPr>
                <w:sz w:val="16"/>
              </w:rPr>
            </w:pPr>
            <w:r>
              <w:rPr>
                <w:color w:val="000080"/>
                <w:sz w:val="16"/>
              </w:rPr>
              <w:t>2.2%</w:t>
            </w:r>
          </w:p>
        </w:tc>
        <w:tc>
          <w:tcPr>
            <w:tcW w:w="770" w:type="dxa"/>
          </w:tcPr>
          <w:p w14:paraId="1686FBFA" w14:textId="77777777" w:rsidR="005A709C" w:rsidRDefault="00B007F1">
            <w:pPr>
              <w:pStyle w:val="TableParagraph"/>
              <w:ind w:left="294"/>
              <w:rPr>
                <w:sz w:val="16"/>
              </w:rPr>
            </w:pPr>
            <w:r>
              <w:rPr>
                <w:color w:val="000080"/>
                <w:sz w:val="16"/>
              </w:rPr>
              <w:t>80</w:t>
            </w:r>
          </w:p>
        </w:tc>
        <w:tc>
          <w:tcPr>
            <w:tcW w:w="770" w:type="dxa"/>
          </w:tcPr>
          <w:p w14:paraId="537D6B0E" w14:textId="77777777" w:rsidR="005A709C" w:rsidRDefault="00B007F1">
            <w:pPr>
              <w:pStyle w:val="TableParagraph"/>
              <w:ind w:left="78" w:right="72"/>
              <w:jc w:val="center"/>
              <w:rPr>
                <w:sz w:val="16"/>
              </w:rPr>
            </w:pPr>
            <w:r>
              <w:rPr>
                <w:color w:val="800080"/>
                <w:sz w:val="16"/>
              </w:rPr>
              <w:t>3.0%</w:t>
            </w:r>
          </w:p>
        </w:tc>
        <w:tc>
          <w:tcPr>
            <w:tcW w:w="768" w:type="dxa"/>
          </w:tcPr>
          <w:p w14:paraId="0D80CBA2" w14:textId="77777777" w:rsidR="005A709C" w:rsidRDefault="00B007F1">
            <w:pPr>
              <w:pStyle w:val="TableParagraph"/>
              <w:ind w:right="190"/>
              <w:jc w:val="right"/>
              <w:rPr>
                <w:sz w:val="16"/>
              </w:rPr>
            </w:pPr>
            <w:r>
              <w:rPr>
                <w:sz w:val="16"/>
              </w:rPr>
              <w:t>3.3%</w:t>
            </w:r>
          </w:p>
        </w:tc>
      </w:tr>
      <w:tr w:rsidR="005A709C" w14:paraId="635D0F2A" w14:textId="77777777">
        <w:trPr>
          <w:trHeight w:val="458"/>
        </w:trPr>
        <w:tc>
          <w:tcPr>
            <w:tcW w:w="3264" w:type="dxa"/>
          </w:tcPr>
          <w:p w14:paraId="1CAD9A25" w14:textId="77777777" w:rsidR="005A709C" w:rsidRDefault="00B007F1">
            <w:pPr>
              <w:pStyle w:val="TableParagraph"/>
              <w:spacing w:before="30" w:line="237" w:lineRule="auto"/>
              <w:ind w:left="59" w:right="133"/>
              <w:rPr>
                <w:sz w:val="11"/>
              </w:rPr>
            </w:pPr>
            <w:r>
              <w:rPr>
                <w:sz w:val="16"/>
              </w:rPr>
              <w:t>Percentage of residents with pressure ulcers</w:t>
            </w:r>
            <w:r>
              <w:rPr>
                <w:position w:val="5"/>
                <w:sz w:val="11"/>
              </w:rPr>
              <w:t>1</w:t>
            </w:r>
          </w:p>
        </w:tc>
        <w:tc>
          <w:tcPr>
            <w:tcW w:w="770" w:type="dxa"/>
          </w:tcPr>
          <w:p w14:paraId="4AFF2C32" w14:textId="77777777" w:rsidR="005A709C" w:rsidRDefault="00B007F1">
            <w:pPr>
              <w:pStyle w:val="TableParagraph"/>
              <w:ind w:left="74" w:right="74"/>
              <w:jc w:val="center"/>
              <w:rPr>
                <w:sz w:val="16"/>
              </w:rPr>
            </w:pPr>
            <w:r>
              <w:rPr>
                <w:color w:val="000080"/>
                <w:sz w:val="16"/>
              </w:rPr>
              <w:t>10.2%</w:t>
            </w:r>
          </w:p>
        </w:tc>
        <w:tc>
          <w:tcPr>
            <w:tcW w:w="770" w:type="dxa"/>
          </w:tcPr>
          <w:p w14:paraId="3A4F6131" w14:textId="77777777" w:rsidR="005A709C" w:rsidRDefault="00B007F1">
            <w:pPr>
              <w:pStyle w:val="TableParagraph"/>
              <w:ind w:left="75" w:right="74"/>
              <w:jc w:val="center"/>
              <w:rPr>
                <w:sz w:val="16"/>
              </w:rPr>
            </w:pPr>
            <w:r>
              <w:rPr>
                <w:color w:val="000080"/>
                <w:sz w:val="16"/>
              </w:rPr>
              <w:t>16.9%</w:t>
            </w:r>
          </w:p>
        </w:tc>
        <w:tc>
          <w:tcPr>
            <w:tcW w:w="770" w:type="dxa"/>
          </w:tcPr>
          <w:p w14:paraId="12506547" w14:textId="77777777" w:rsidR="005A709C" w:rsidRDefault="00B007F1">
            <w:pPr>
              <w:pStyle w:val="TableParagraph"/>
              <w:ind w:left="76" w:right="74"/>
              <w:jc w:val="center"/>
              <w:rPr>
                <w:sz w:val="16"/>
              </w:rPr>
            </w:pPr>
            <w:r>
              <w:rPr>
                <w:color w:val="000080"/>
                <w:sz w:val="16"/>
              </w:rPr>
              <w:t>13.3%</w:t>
            </w:r>
          </w:p>
        </w:tc>
        <w:tc>
          <w:tcPr>
            <w:tcW w:w="770" w:type="dxa"/>
          </w:tcPr>
          <w:p w14:paraId="314A0B6B" w14:textId="77777777" w:rsidR="005A709C" w:rsidRDefault="00B007F1">
            <w:pPr>
              <w:pStyle w:val="TableParagraph"/>
              <w:ind w:left="200"/>
              <w:rPr>
                <w:sz w:val="16"/>
              </w:rPr>
            </w:pPr>
            <w:r>
              <w:rPr>
                <w:color w:val="000080"/>
                <w:sz w:val="16"/>
              </w:rPr>
              <w:t>8.8%</w:t>
            </w:r>
          </w:p>
        </w:tc>
        <w:tc>
          <w:tcPr>
            <w:tcW w:w="770" w:type="dxa"/>
          </w:tcPr>
          <w:p w14:paraId="00A4CB50" w14:textId="77777777" w:rsidR="005A709C" w:rsidRDefault="00B007F1">
            <w:pPr>
              <w:pStyle w:val="TableParagraph"/>
              <w:ind w:right="149"/>
              <w:jc w:val="right"/>
              <w:rPr>
                <w:sz w:val="16"/>
              </w:rPr>
            </w:pPr>
            <w:r>
              <w:rPr>
                <w:color w:val="000080"/>
                <w:sz w:val="16"/>
              </w:rPr>
              <w:t>12.3%</w:t>
            </w:r>
          </w:p>
        </w:tc>
        <w:tc>
          <w:tcPr>
            <w:tcW w:w="770" w:type="dxa"/>
          </w:tcPr>
          <w:p w14:paraId="4D185B75" w14:textId="77777777" w:rsidR="005A709C" w:rsidRDefault="00B007F1">
            <w:pPr>
              <w:pStyle w:val="TableParagraph"/>
              <w:ind w:left="294"/>
              <w:rPr>
                <w:sz w:val="16"/>
              </w:rPr>
            </w:pPr>
            <w:r>
              <w:rPr>
                <w:color w:val="000080"/>
                <w:sz w:val="16"/>
              </w:rPr>
              <w:t>20</w:t>
            </w:r>
          </w:p>
        </w:tc>
        <w:tc>
          <w:tcPr>
            <w:tcW w:w="770" w:type="dxa"/>
          </w:tcPr>
          <w:p w14:paraId="3A797577" w14:textId="77777777" w:rsidR="005A709C" w:rsidRDefault="00B007F1">
            <w:pPr>
              <w:pStyle w:val="TableParagraph"/>
              <w:ind w:left="78" w:right="72"/>
              <w:jc w:val="center"/>
              <w:rPr>
                <w:sz w:val="16"/>
              </w:rPr>
            </w:pPr>
            <w:r>
              <w:rPr>
                <w:color w:val="800080"/>
                <w:sz w:val="16"/>
              </w:rPr>
              <w:t>7.2%</w:t>
            </w:r>
          </w:p>
        </w:tc>
        <w:tc>
          <w:tcPr>
            <w:tcW w:w="768" w:type="dxa"/>
          </w:tcPr>
          <w:p w14:paraId="609C32FD" w14:textId="77777777" w:rsidR="005A709C" w:rsidRDefault="00B007F1">
            <w:pPr>
              <w:pStyle w:val="TableParagraph"/>
              <w:ind w:right="190"/>
              <w:jc w:val="right"/>
              <w:rPr>
                <w:sz w:val="16"/>
              </w:rPr>
            </w:pPr>
            <w:r>
              <w:rPr>
                <w:sz w:val="16"/>
              </w:rPr>
              <w:t>5.2%</w:t>
            </w:r>
          </w:p>
        </w:tc>
      </w:tr>
      <w:tr w:rsidR="005A709C" w14:paraId="08E31F54" w14:textId="77777777">
        <w:trPr>
          <w:trHeight w:val="458"/>
        </w:trPr>
        <w:tc>
          <w:tcPr>
            <w:tcW w:w="3264" w:type="dxa"/>
          </w:tcPr>
          <w:p w14:paraId="041BB6BF" w14:textId="77777777" w:rsidR="005A709C" w:rsidRDefault="00B007F1">
            <w:pPr>
              <w:pStyle w:val="TableParagraph"/>
              <w:ind w:left="59"/>
              <w:rPr>
                <w:sz w:val="16"/>
              </w:rPr>
            </w:pPr>
            <w:r>
              <w:rPr>
                <w:sz w:val="16"/>
              </w:rPr>
              <w:t>Percentage of residents with a urinary tract infection</w:t>
            </w:r>
          </w:p>
        </w:tc>
        <w:tc>
          <w:tcPr>
            <w:tcW w:w="770" w:type="dxa"/>
          </w:tcPr>
          <w:p w14:paraId="363E73DC" w14:textId="77777777" w:rsidR="005A709C" w:rsidRDefault="00B007F1">
            <w:pPr>
              <w:pStyle w:val="TableParagraph"/>
              <w:ind w:left="75" w:right="74"/>
              <w:jc w:val="center"/>
              <w:rPr>
                <w:sz w:val="16"/>
              </w:rPr>
            </w:pPr>
            <w:r>
              <w:rPr>
                <w:color w:val="000080"/>
                <w:sz w:val="16"/>
              </w:rPr>
              <w:t>0.0%</w:t>
            </w:r>
          </w:p>
        </w:tc>
        <w:tc>
          <w:tcPr>
            <w:tcW w:w="770" w:type="dxa"/>
          </w:tcPr>
          <w:p w14:paraId="14EF9AC9" w14:textId="77777777" w:rsidR="005A709C" w:rsidRDefault="00B007F1">
            <w:pPr>
              <w:pStyle w:val="TableParagraph"/>
              <w:ind w:left="76" w:right="74"/>
              <w:jc w:val="center"/>
              <w:rPr>
                <w:sz w:val="16"/>
              </w:rPr>
            </w:pPr>
            <w:r>
              <w:rPr>
                <w:color w:val="000080"/>
                <w:sz w:val="16"/>
              </w:rPr>
              <w:t>0.0%</w:t>
            </w:r>
          </w:p>
        </w:tc>
        <w:tc>
          <w:tcPr>
            <w:tcW w:w="770" w:type="dxa"/>
          </w:tcPr>
          <w:p w14:paraId="4711DF05" w14:textId="77777777" w:rsidR="005A709C" w:rsidRDefault="00B007F1">
            <w:pPr>
              <w:pStyle w:val="TableParagraph"/>
              <w:ind w:left="77" w:right="74"/>
              <w:jc w:val="center"/>
              <w:rPr>
                <w:sz w:val="16"/>
              </w:rPr>
            </w:pPr>
            <w:r>
              <w:rPr>
                <w:color w:val="000080"/>
                <w:sz w:val="16"/>
              </w:rPr>
              <w:t>2.6%</w:t>
            </w:r>
          </w:p>
        </w:tc>
        <w:tc>
          <w:tcPr>
            <w:tcW w:w="770" w:type="dxa"/>
          </w:tcPr>
          <w:p w14:paraId="13A5A008" w14:textId="77777777" w:rsidR="005A709C" w:rsidRDefault="00B007F1">
            <w:pPr>
              <w:pStyle w:val="TableParagraph"/>
              <w:ind w:left="200"/>
              <w:rPr>
                <w:sz w:val="16"/>
              </w:rPr>
            </w:pPr>
            <w:r>
              <w:rPr>
                <w:color w:val="000080"/>
                <w:sz w:val="16"/>
              </w:rPr>
              <w:t>4.4%</w:t>
            </w:r>
          </w:p>
        </w:tc>
        <w:tc>
          <w:tcPr>
            <w:tcW w:w="770" w:type="dxa"/>
          </w:tcPr>
          <w:p w14:paraId="53F904E2" w14:textId="77777777" w:rsidR="005A709C" w:rsidRDefault="00B007F1">
            <w:pPr>
              <w:pStyle w:val="TableParagraph"/>
              <w:ind w:right="193"/>
              <w:jc w:val="right"/>
              <w:rPr>
                <w:sz w:val="16"/>
              </w:rPr>
            </w:pPr>
            <w:r>
              <w:rPr>
                <w:color w:val="000080"/>
                <w:sz w:val="16"/>
              </w:rPr>
              <w:t>1.8%</w:t>
            </w:r>
          </w:p>
        </w:tc>
        <w:tc>
          <w:tcPr>
            <w:tcW w:w="770" w:type="dxa"/>
          </w:tcPr>
          <w:p w14:paraId="133D31DD" w14:textId="77777777" w:rsidR="005A709C" w:rsidRDefault="00B007F1">
            <w:pPr>
              <w:pStyle w:val="TableParagraph"/>
              <w:ind w:left="294"/>
              <w:rPr>
                <w:sz w:val="16"/>
              </w:rPr>
            </w:pPr>
            <w:r>
              <w:rPr>
                <w:color w:val="000080"/>
                <w:sz w:val="16"/>
              </w:rPr>
              <w:t>60</w:t>
            </w:r>
          </w:p>
        </w:tc>
        <w:tc>
          <w:tcPr>
            <w:tcW w:w="770" w:type="dxa"/>
          </w:tcPr>
          <w:p w14:paraId="2DAEA402" w14:textId="77777777" w:rsidR="005A709C" w:rsidRDefault="00B007F1">
            <w:pPr>
              <w:pStyle w:val="TableParagraph"/>
              <w:ind w:left="78" w:right="72"/>
              <w:jc w:val="center"/>
              <w:rPr>
                <w:sz w:val="16"/>
              </w:rPr>
            </w:pPr>
            <w:r>
              <w:rPr>
                <w:color w:val="800080"/>
                <w:sz w:val="16"/>
              </w:rPr>
              <w:t>1.4%</w:t>
            </w:r>
          </w:p>
        </w:tc>
        <w:tc>
          <w:tcPr>
            <w:tcW w:w="768" w:type="dxa"/>
          </w:tcPr>
          <w:p w14:paraId="1FD6A776" w14:textId="77777777" w:rsidR="005A709C" w:rsidRDefault="00B007F1">
            <w:pPr>
              <w:pStyle w:val="TableParagraph"/>
              <w:ind w:right="190"/>
              <w:jc w:val="right"/>
              <w:rPr>
                <w:sz w:val="16"/>
              </w:rPr>
            </w:pPr>
            <w:r>
              <w:rPr>
                <w:sz w:val="16"/>
              </w:rPr>
              <w:t>1.8%</w:t>
            </w:r>
          </w:p>
        </w:tc>
      </w:tr>
      <w:tr w:rsidR="005A709C" w14:paraId="1BD1BD68" w14:textId="77777777">
        <w:trPr>
          <w:trHeight w:val="458"/>
        </w:trPr>
        <w:tc>
          <w:tcPr>
            <w:tcW w:w="3264" w:type="dxa"/>
          </w:tcPr>
          <w:p w14:paraId="0C359B9B" w14:textId="77777777" w:rsidR="005A709C" w:rsidRDefault="00B007F1">
            <w:pPr>
              <w:pStyle w:val="TableParagraph"/>
              <w:spacing w:before="30" w:line="237" w:lineRule="auto"/>
              <w:ind w:left="59"/>
              <w:rPr>
                <w:sz w:val="11"/>
              </w:rPr>
            </w:pPr>
            <w:r>
              <w:rPr>
                <w:sz w:val="16"/>
              </w:rPr>
              <w:t>Percentage of residents with a catheter inserted and left in their bladder</w:t>
            </w:r>
            <w:r>
              <w:rPr>
                <w:position w:val="5"/>
                <w:sz w:val="11"/>
              </w:rPr>
              <w:t>1</w:t>
            </w:r>
          </w:p>
        </w:tc>
        <w:tc>
          <w:tcPr>
            <w:tcW w:w="770" w:type="dxa"/>
          </w:tcPr>
          <w:p w14:paraId="7F9F44B9" w14:textId="77777777" w:rsidR="005A709C" w:rsidRDefault="00B007F1">
            <w:pPr>
              <w:pStyle w:val="TableParagraph"/>
              <w:ind w:left="75" w:right="74"/>
              <w:jc w:val="center"/>
              <w:rPr>
                <w:sz w:val="16"/>
              </w:rPr>
            </w:pPr>
            <w:r>
              <w:rPr>
                <w:color w:val="000080"/>
                <w:sz w:val="16"/>
              </w:rPr>
              <w:t>3.9%</w:t>
            </w:r>
          </w:p>
        </w:tc>
        <w:tc>
          <w:tcPr>
            <w:tcW w:w="770" w:type="dxa"/>
          </w:tcPr>
          <w:p w14:paraId="1C1C6EFC" w14:textId="77777777" w:rsidR="005A709C" w:rsidRDefault="00B007F1">
            <w:pPr>
              <w:pStyle w:val="TableParagraph"/>
              <w:ind w:left="76" w:right="74"/>
              <w:jc w:val="center"/>
              <w:rPr>
                <w:sz w:val="16"/>
              </w:rPr>
            </w:pPr>
            <w:r>
              <w:rPr>
                <w:color w:val="000080"/>
                <w:sz w:val="16"/>
              </w:rPr>
              <w:t>5.2%</w:t>
            </w:r>
          </w:p>
        </w:tc>
        <w:tc>
          <w:tcPr>
            <w:tcW w:w="770" w:type="dxa"/>
          </w:tcPr>
          <w:p w14:paraId="09DA841B" w14:textId="77777777" w:rsidR="005A709C" w:rsidRDefault="00B007F1">
            <w:pPr>
              <w:pStyle w:val="TableParagraph"/>
              <w:ind w:left="77" w:right="74"/>
              <w:jc w:val="center"/>
              <w:rPr>
                <w:sz w:val="16"/>
              </w:rPr>
            </w:pPr>
            <w:r>
              <w:rPr>
                <w:color w:val="000080"/>
                <w:sz w:val="16"/>
              </w:rPr>
              <w:t>4.2%</w:t>
            </w:r>
          </w:p>
        </w:tc>
        <w:tc>
          <w:tcPr>
            <w:tcW w:w="770" w:type="dxa"/>
          </w:tcPr>
          <w:p w14:paraId="1F0AA906" w14:textId="77777777" w:rsidR="005A709C" w:rsidRDefault="00B007F1">
            <w:pPr>
              <w:pStyle w:val="TableParagraph"/>
              <w:ind w:left="200"/>
              <w:rPr>
                <w:sz w:val="16"/>
              </w:rPr>
            </w:pPr>
            <w:r>
              <w:rPr>
                <w:color w:val="000080"/>
                <w:sz w:val="16"/>
              </w:rPr>
              <w:t>4.2%</w:t>
            </w:r>
          </w:p>
        </w:tc>
        <w:tc>
          <w:tcPr>
            <w:tcW w:w="770" w:type="dxa"/>
          </w:tcPr>
          <w:p w14:paraId="7702FAE8" w14:textId="77777777" w:rsidR="005A709C" w:rsidRDefault="00B007F1">
            <w:pPr>
              <w:pStyle w:val="TableParagraph"/>
              <w:ind w:right="193"/>
              <w:jc w:val="right"/>
              <w:rPr>
                <w:sz w:val="16"/>
              </w:rPr>
            </w:pPr>
            <w:r>
              <w:rPr>
                <w:color w:val="000080"/>
                <w:sz w:val="16"/>
              </w:rPr>
              <w:t>4.4%</w:t>
            </w:r>
          </w:p>
        </w:tc>
        <w:tc>
          <w:tcPr>
            <w:tcW w:w="770" w:type="dxa"/>
          </w:tcPr>
          <w:p w14:paraId="48608B2B" w14:textId="77777777" w:rsidR="005A709C" w:rsidRDefault="00B007F1">
            <w:pPr>
              <w:pStyle w:val="TableParagraph"/>
              <w:ind w:left="294"/>
              <w:rPr>
                <w:sz w:val="16"/>
              </w:rPr>
            </w:pPr>
            <w:r>
              <w:rPr>
                <w:color w:val="000080"/>
                <w:sz w:val="16"/>
              </w:rPr>
              <w:t>20</w:t>
            </w:r>
          </w:p>
        </w:tc>
        <w:tc>
          <w:tcPr>
            <w:tcW w:w="770" w:type="dxa"/>
          </w:tcPr>
          <w:p w14:paraId="3AC7D83F" w14:textId="77777777" w:rsidR="005A709C" w:rsidRDefault="00B007F1">
            <w:pPr>
              <w:pStyle w:val="TableParagraph"/>
              <w:ind w:left="78" w:right="72"/>
              <w:jc w:val="center"/>
              <w:rPr>
                <w:sz w:val="16"/>
              </w:rPr>
            </w:pPr>
            <w:r>
              <w:rPr>
                <w:color w:val="800080"/>
                <w:sz w:val="16"/>
              </w:rPr>
              <w:t>0.7%</w:t>
            </w:r>
          </w:p>
        </w:tc>
        <w:tc>
          <w:tcPr>
            <w:tcW w:w="768" w:type="dxa"/>
          </w:tcPr>
          <w:p w14:paraId="1FBFCABF" w14:textId="77777777" w:rsidR="005A709C" w:rsidRDefault="00B007F1">
            <w:pPr>
              <w:pStyle w:val="TableParagraph"/>
              <w:ind w:right="190"/>
              <w:jc w:val="right"/>
              <w:rPr>
                <w:sz w:val="16"/>
              </w:rPr>
            </w:pPr>
            <w:r>
              <w:rPr>
                <w:sz w:val="16"/>
              </w:rPr>
              <w:t>1.1%</w:t>
            </w:r>
          </w:p>
        </w:tc>
      </w:tr>
      <w:tr w:rsidR="005A709C" w14:paraId="2769E32F" w14:textId="77777777">
        <w:trPr>
          <w:trHeight w:val="458"/>
        </w:trPr>
        <w:tc>
          <w:tcPr>
            <w:tcW w:w="3264" w:type="dxa"/>
          </w:tcPr>
          <w:p w14:paraId="585C0536" w14:textId="77777777" w:rsidR="005A709C" w:rsidRDefault="00B007F1">
            <w:pPr>
              <w:pStyle w:val="TableParagraph"/>
              <w:ind w:left="59" w:right="133"/>
              <w:rPr>
                <w:sz w:val="16"/>
              </w:rPr>
            </w:pPr>
            <w:r>
              <w:rPr>
                <w:sz w:val="16"/>
              </w:rPr>
              <w:t>Percentage of residents whose need for help with daily activities has increased</w:t>
            </w:r>
          </w:p>
        </w:tc>
        <w:tc>
          <w:tcPr>
            <w:tcW w:w="770" w:type="dxa"/>
          </w:tcPr>
          <w:p w14:paraId="5D40DEED" w14:textId="77777777" w:rsidR="005A709C" w:rsidRDefault="00B007F1">
            <w:pPr>
              <w:pStyle w:val="TableParagraph"/>
              <w:ind w:left="75" w:right="74"/>
              <w:jc w:val="center"/>
              <w:rPr>
                <w:sz w:val="16"/>
              </w:rPr>
            </w:pPr>
            <w:r>
              <w:rPr>
                <w:color w:val="000080"/>
                <w:sz w:val="16"/>
              </w:rPr>
              <w:t>8.8%</w:t>
            </w:r>
          </w:p>
        </w:tc>
        <w:tc>
          <w:tcPr>
            <w:tcW w:w="770" w:type="dxa"/>
          </w:tcPr>
          <w:p w14:paraId="1CB52309" w14:textId="77777777" w:rsidR="005A709C" w:rsidRDefault="00B007F1">
            <w:pPr>
              <w:pStyle w:val="TableParagraph"/>
              <w:ind w:left="75" w:right="74"/>
              <w:jc w:val="center"/>
              <w:rPr>
                <w:sz w:val="16"/>
              </w:rPr>
            </w:pPr>
            <w:r>
              <w:rPr>
                <w:color w:val="000080"/>
                <w:sz w:val="16"/>
              </w:rPr>
              <w:t>14.4%</w:t>
            </w:r>
          </w:p>
        </w:tc>
        <w:tc>
          <w:tcPr>
            <w:tcW w:w="770" w:type="dxa"/>
          </w:tcPr>
          <w:p w14:paraId="6C0DCA30" w14:textId="77777777" w:rsidR="005A709C" w:rsidRDefault="00B007F1">
            <w:pPr>
              <w:pStyle w:val="TableParagraph"/>
              <w:ind w:left="76" w:right="74"/>
              <w:jc w:val="center"/>
              <w:rPr>
                <w:sz w:val="16"/>
              </w:rPr>
            </w:pPr>
            <w:r>
              <w:rPr>
                <w:color w:val="000080"/>
                <w:sz w:val="16"/>
              </w:rPr>
              <w:t>15.9%</w:t>
            </w:r>
          </w:p>
        </w:tc>
        <w:tc>
          <w:tcPr>
            <w:tcW w:w="770" w:type="dxa"/>
          </w:tcPr>
          <w:p w14:paraId="68127CEF" w14:textId="77777777" w:rsidR="005A709C" w:rsidRDefault="00B007F1">
            <w:pPr>
              <w:pStyle w:val="TableParagraph"/>
              <w:ind w:left="154"/>
              <w:rPr>
                <w:sz w:val="16"/>
              </w:rPr>
            </w:pPr>
            <w:r>
              <w:rPr>
                <w:color w:val="000080"/>
                <w:sz w:val="16"/>
              </w:rPr>
              <w:t>11.1%</w:t>
            </w:r>
          </w:p>
        </w:tc>
        <w:tc>
          <w:tcPr>
            <w:tcW w:w="770" w:type="dxa"/>
          </w:tcPr>
          <w:p w14:paraId="284FD370" w14:textId="77777777" w:rsidR="005A709C" w:rsidRDefault="00B007F1">
            <w:pPr>
              <w:pStyle w:val="TableParagraph"/>
              <w:ind w:right="149"/>
              <w:jc w:val="right"/>
              <w:rPr>
                <w:sz w:val="16"/>
              </w:rPr>
            </w:pPr>
            <w:r>
              <w:rPr>
                <w:color w:val="000080"/>
                <w:sz w:val="16"/>
              </w:rPr>
              <w:t>12.6%</w:t>
            </w:r>
          </w:p>
        </w:tc>
        <w:tc>
          <w:tcPr>
            <w:tcW w:w="770" w:type="dxa"/>
          </w:tcPr>
          <w:p w14:paraId="196F37C5" w14:textId="77777777" w:rsidR="005A709C" w:rsidRDefault="00B007F1">
            <w:pPr>
              <w:pStyle w:val="TableParagraph"/>
              <w:ind w:left="251"/>
              <w:rPr>
                <w:sz w:val="16"/>
              </w:rPr>
            </w:pPr>
            <w:r>
              <w:rPr>
                <w:color w:val="000080"/>
                <w:sz w:val="16"/>
              </w:rPr>
              <w:t>105</w:t>
            </w:r>
          </w:p>
        </w:tc>
        <w:tc>
          <w:tcPr>
            <w:tcW w:w="770" w:type="dxa"/>
          </w:tcPr>
          <w:p w14:paraId="5ABB505D" w14:textId="77777777" w:rsidR="005A709C" w:rsidRDefault="00B007F1">
            <w:pPr>
              <w:pStyle w:val="TableParagraph"/>
              <w:ind w:left="78" w:right="73"/>
              <w:jc w:val="center"/>
              <w:rPr>
                <w:sz w:val="16"/>
              </w:rPr>
            </w:pPr>
            <w:r>
              <w:rPr>
                <w:color w:val="800080"/>
                <w:sz w:val="16"/>
              </w:rPr>
              <w:t>16.4%</w:t>
            </w:r>
          </w:p>
        </w:tc>
        <w:tc>
          <w:tcPr>
            <w:tcW w:w="768" w:type="dxa"/>
          </w:tcPr>
          <w:p w14:paraId="5F06EAC8" w14:textId="77777777" w:rsidR="005A709C" w:rsidRDefault="00B007F1">
            <w:pPr>
              <w:pStyle w:val="TableParagraph"/>
              <w:ind w:right="145"/>
              <w:jc w:val="right"/>
              <w:rPr>
                <w:sz w:val="16"/>
              </w:rPr>
            </w:pPr>
            <w:r>
              <w:rPr>
                <w:sz w:val="16"/>
              </w:rPr>
              <w:t>15.5%</w:t>
            </w:r>
          </w:p>
        </w:tc>
      </w:tr>
      <w:tr w:rsidR="005A709C" w14:paraId="73782547" w14:textId="77777777">
        <w:trPr>
          <w:trHeight w:val="458"/>
        </w:trPr>
        <w:tc>
          <w:tcPr>
            <w:tcW w:w="3264" w:type="dxa"/>
          </w:tcPr>
          <w:p w14:paraId="243D4476" w14:textId="77777777" w:rsidR="005A709C" w:rsidRDefault="00B007F1">
            <w:pPr>
              <w:pStyle w:val="TableParagraph"/>
              <w:ind w:left="59"/>
              <w:rPr>
                <w:sz w:val="16"/>
              </w:rPr>
            </w:pPr>
            <w:r>
              <w:rPr>
                <w:sz w:val="16"/>
              </w:rPr>
              <w:t>Percentage of residents who received an antipsychotic medication</w:t>
            </w:r>
          </w:p>
        </w:tc>
        <w:tc>
          <w:tcPr>
            <w:tcW w:w="770" w:type="dxa"/>
          </w:tcPr>
          <w:p w14:paraId="5D783A28" w14:textId="77777777" w:rsidR="005A709C" w:rsidRDefault="00B007F1">
            <w:pPr>
              <w:pStyle w:val="TableParagraph"/>
              <w:ind w:left="74" w:right="74"/>
              <w:jc w:val="center"/>
              <w:rPr>
                <w:sz w:val="16"/>
              </w:rPr>
            </w:pPr>
            <w:r>
              <w:rPr>
                <w:color w:val="000080"/>
                <w:sz w:val="16"/>
              </w:rPr>
              <w:t>26.7%</w:t>
            </w:r>
          </w:p>
        </w:tc>
        <w:tc>
          <w:tcPr>
            <w:tcW w:w="770" w:type="dxa"/>
          </w:tcPr>
          <w:p w14:paraId="685C01D2" w14:textId="77777777" w:rsidR="005A709C" w:rsidRDefault="00B007F1">
            <w:pPr>
              <w:pStyle w:val="TableParagraph"/>
              <w:ind w:left="75" w:right="74"/>
              <w:jc w:val="center"/>
              <w:rPr>
                <w:sz w:val="16"/>
              </w:rPr>
            </w:pPr>
            <w:r>
              <w:rPr>
                <w:color w:val="000080"/>
                <w:sz w:val="16"/>
              </w:rPr>
              <w:t>25.9%</w:t>
            </w:r>
          </w:p>
        </w:tc>
        <w:tc>
          <w:tcPr>
            <w:tcW w:w="770" w:type="dxa"/>
          </w:tcPr>
          <w:p w14:paraId="2CBEC7B5" w14:textId="77777777" w:rsidR="005A709C" w:rsidRDefault="00B007F1">
            <w:pPr>
              <w:pStyle w:val="TableParagraph"/>
              <w:ind w:left="76" w:right="74"/>
              <w:jc w:val="center"/>
              <w:rPr>
                <w:sz w:val="16"/>
              </w:rPr>
            </w:pPr>
            <w:r>
              <w:rPr>
                <w:color w:val="000080"/>
                <w:sz w:val="16"/>
              </w:rPr>
              <w:t>23.1%</w:t>
            </w:r>
          </w:p>
        </w:tc>
        <w:tc>
          <w:tcPr>
            <w:tcW w:w="770" w:type="dxa"/>
          </w:tcPr>
          <w:p w14:paraId="2E002C3E" w14:textId="77777777" w:rsidR="005A709C" w:rsidRDefault="00B007F1">
            <w:pPr>
              <w:pStyle w:val="TableParagraph"/>
              <w:ind w:left="154"/>
              <w:rPr>
                <w:sz w:val="16"/>
              </w:rPr>
            </w:pPr>
            <w:r>
              <w:rPr>
                <w:color w:val="000080"/>
                <w:sz w:val="16"/>
              </w:rPr>
              <w:t>21.7%</w:t>
            </w:r>
          </w:p>
        </w:tc>
        <w:tc>
          <w:tcPr>
            <w:tcW w:w="770" w:type="dxa"/>
          </w:tcPr>
          <w:p w14:paraId="57AE16EC" w14:textId="77777777" w:rsidR="005A709C" w:rsidRDefault="00B007F1">
            <w:pPr>
              <w:pStyle w:val="TableParagraph"/>
              <w:ind w:right="149"/>
              <w:jc w:val="right"/>
              <w:rPr>
                <w:sz w:val="16"/>
              </w:rPr>
            </w:pPr>
            <w:r>
              <w:rPr>
                <w:color w:val="000080"/>
                <w:sz w:val="16"/>
              </w:rPr>
              <w:t>24.4%</w:t>
            </w:r>
          </w:p>
        </w:tc>
        <w:tc>
          <w:tcPr>
            <w:tcW w:w="770" w:type="dxa"/>
          </w:tcPr>
          <w:p w14:paraId="4CB231C0" w14:textId="77777777" w:rsidR="005A709C" w:rsidRDefault="00B007F1">
            <w:pPr>
              <w:pStyle w:val="TableParagraph"/>
              <w:ind w:left="294"/>
              <w:rPr>
                <w:sz w:val="16"/>
              </w:rPr>
            </w:pPr>
            <w:r>
              <w:rPr>
                <w:color w:val="000080"/>
                <w:sz w:val="16"/>
              </w:rPr>
              <w:t>30</w:t>
            </w:r>
          </w:p>
        </w:tc>
        <w:tc>
          <w:tcPr>
            <w:tcW w:w="770" w:type="dxa"/>
          </w:tcPr>
          <w:p w14:paraId="6B2B80AB" w14:textId="77777777" w:rsidR="005A709C" w:rsidRDefault="00B007F1">
            <w:pPr>
              <w:pStyle w:val="TableParagraph"/>
              <w:ind w:left="78" w:right="73"/>
              <w:jc w:val="center"/>
              <w:rPr>
                <w:sz w:val="16"/>
              </w:rPr>
            </w:pPr>
            <w:r>
              <w:rPr>
                <w:color w:val="800080"/>
                <w:sz w:val="16"/>
              </w:rPr>
              <w:t>12.6%</w:t>
            </w:r>
          </w:p>
        </w:tc>
        <w:tc>
          <w:tcPr>
            <w:tcW w:w="768" w:type="dxa"/>
          </w:tcPr>
          <w:p w14:paraId="7EF40BDD" w14:textId="77777777" w:rsidR="005A709C" w:rsidRDefault="00B007F1">
            <w:pPr>
              <w:pStyle w:val="TableParagraph"/>
              <w:ind w:right="145"/>
              <w:jc w:val="right"/>
              <w:rPr>
                <w:sz w:val="16"/>
              </w:rPr>
            </w:pPr>
            <w:r>
              <w:rPr>
                <w:sz w:val="16"/>
              </w:rPr>
              <w:t>14.5%</w:t>
            </w:r>
          </w:p>
        </w:tc>
      </w:tr>
      <w:tr w:rsidR="005A709C" w14:paraId="2DE55352" w14:textId="77777777">
        <w:trPr>
          <w:trHeight w:val="458"/>
        </w:trPr>
        <w:tc>
          <w:tcPr>
            <w:tcW w:w="3264" w:type="dxa"/>
          </w:tcPr>
          <w:p w14:paraId="633B08B5" w14:textId="77777777" w:rsidR="005A709C" w:rsidRDefault="00B007F1">
            <w:pPr>
              <w:pStyle w:val="TableParagraph"/>
              <w:spacing w:before="30" w:line="237" w:lineRule="auto"/>
              <w:ind w:left="59" w:right="133"/>
              <w:rPr>
                <w:sz w:val="11"/>
              </w:rPr>
            </w:pPr>
            <w:r>
              <w:rPr>
                <w:sz w:val="16"/>
              </w:rPr>
              <w:t>Percentage of residents whose ability to walk independently worsened</w:t>
            </w:r>
            <w:r>
              <w:rPr>
                <w:position w:val="5"/>
                <w:sz w:val="11"/>
              </w:rPr>
              <w:t>1</w:t>
            </w:r>
          </w:p>
        </w:tc>
        <w:tc>
          <w:tcPr>
            <w:tcW w:w="770" w:type="dxa"/>
          </w:tcPr>
          <w:p w14:paraId="6AC9E197" w14:textId="77777777" w:rsidR="005A709C" w:rsidRDefault="00B007F1">
            <w:pPr>
              <w:pStyle w:val="TableParagraph"/>
              <w:ind w:left="75" w:right="74"/>
              <w:jc w:val="center"/>
              <w:rPr>
                <w:sz w:val="16"/>
              </w:rPr>
            </w:pPr>
            <w:r>
              <w:rPr>
                <w:color w:val="000080"/>
                <w:sz w:val="16"/>
              </w:rPr>
              <w:t>9.6%</w:t>
            </w:r>
          </w:p>
        </w:tc>
        <w:tc>
          <w:tcPr>
            <w:tcW w:w="770" w:type="dxa"/>
          </w:tcPr>
          <w:p w14:paraId="5DE055E4" w14:textId="77777777" w:rsidR="005A709C" w:rsidRDefault="00B007F1">
            <w:pPr>
              <w:pStyle w:val="TableParagraph"/>
              <w:ind w:left="75" w:right="74"/>
              <w:jc w:val="center"/>
              <w:rPr>
                <w:sz w:val="16"/>
              </w:rPr>
            </w:pPr>
            <w:r>
              <w:rPr>
                <w:color w:val="000080"/>
                <w:sz w:val="16"/>
              </w:rPr>
              <w:t>13.6%</w:t>
            </w:r>
          </w:p>
        </w:tc>
        <w:tc>
          <w:tcPr>
            <w:tcW w:w="770" w:type="dxa"/>
          </w:tcPr>
          <w:p w14:paraId="024BE55F" w14:textId="77777777" w:rsidR="005A709C" w:rsidRDefault="00B007F1">
            <w:pPr>
              <w:pStyle w:val="TableParagraph"/>
              <w:ind w:left="76" w:right="74"/>
              <w:jc w:val="center"/>
              <w:rPr>
                <w:sz w:val="16"/>
              </w:rPr>
            </w:pPr>
            <w:r>
              <w:rPr>
                <w:color w:val="000080"/>
                <w:sz w:val="16"/>
              </w:rPr>
              <w:t>15.5%</w:t>
            </w:r>
          </w:p>
        </w:tc>
        <w:tc>
          <w:tcPr>
            <w:tcW w:w="770" w:type="dxa"/>
          </w:tcPr>
          <w:p w14:paraId="34AB2350" w14:textId="77777777" w:rsidR="005A709C" w:rsidRDefault="00B007F1">
            <w:pPr>
              <w:pStyle w:val="TableParagraph"/>
              <w:ind w:left="200"/>
              <w:rPr>
                <w:sz w:val="16"/>
              </w:rPr>
            </w:pPr>
            <w:r>
              <w:rPr>
                <w:color w:val="000080"/>
                <w:sz w:val="16"/>
              </w:rPr>
              <w:t>9.1%</w:t>
            </w:r>
          </w:p>
        </w:tc>
        <w:tc>
          <w:tcPr>
            <w:tcW w:w="770" w:type="dxa"/>
          </w:tcPr>
          <w:p w14:paraId="24767794" w14:textId="77777777" w:rsidR="005A709C" w:rsidRDefault="00B007F1">
            <w:pPr>
              <w:pStyle w:val="TableParagraph"/>
              <w:ind w:right="149"/>
              <w:jc w:val="right"/>
              <w:rPr>
                <w:sz w:val="16"/>
              </w:rPr>
            </w:pPr>
            <w:r>
              <w:rPr>
                <w:color w:val="000080"/>
                <w:sz w:val="16"/>
              </w:rPr>
              <w:t>12.0%</w:t>
            </w:r>
          </w:p>
        </w:tc>
        <w:tc>
          <w:tcPr>
            <w:tcW w:w="770" w:type="dxa"/>
          </w:tcPr>
          <w:p w14:paraId="6FD62621" w14:textId="77777777" w:rsidR="005A709C" w:rsidRDefault="00B007F1">
            <w:pPr>
              <w:pStyle w:val="TableParagraph"/>
              <w:ind w:left="251"/>
              <w:rPr>
                <w:sz w:val="16"/>
              </w:rPr>
            </w:pPr>
            <w:r>
              <w:rPr>
                <w:color w:val="000080"/>
                <w:sz w:val="16"/>
              </w:rPr>
              <w:t>135</w:t>
            </w:r>
          </w:p>
        </w:tc>
        <w:tc>
          <w:tcPr>
            <w:tcW w:w="770" w:type="dxa"/>
          </w:tcPr>
          <w:p w14:paraId="0581B721" w14:textId="77777777" w:rsidR="005A709C" w:rsidRDefault="00B007F1">
            <w:pPr>
              <w:pStyle w:val="TableParagraph"/>
              <w:ind w:left="78" w:right="73"/>
              <w:jc w:val="center"/>
              <w:rPr>
                <w:sz w:val="16"/>
              </w:rPr>
            </w:pPr>
            <w:r>
              <w:rPr>
                <w:color w:val="800080"/>
                <w:sz w:val="16"/>
              </w:rPr>
              <w:t>16.6%</w:t>
            </w:r>
          </w:p>
        </w:tc>
        <w:tc>
          <w:tcPr>
            <w:tcW w:w="768" w:type="dxa"/>
          </w:tcPr>
          <w:p w14:paraId="5C5B1945" w14:textId="77777777" w:rsidR="005A709C" w:rsidRDefault="00B007F1">
            <w:pPr>
              <w:pStyle w:val="TableParagraph"/>
              <w:ind w:right="145"/>
              <w:jc w:val="right"/>
              <w:rPr>
                <w:sz w:val="16"/>
              </w:rPr>
            </w:pPr>
            <w:r>
              <w:rPr>
                <w:sz w:val="16"/>
              </w:rPr>
              <w:t>17.8%</w:t>
            </w:r>
          </w:p>
        </w:tc>
      </w:tr>
    </w:tbl>
    <w:p w14:paraId="51BA2FCE" w14:textId="77777777" w:rsidR="005A709C" w:rsidRDefault="005A709C">
      <w:pPr>
        <w:pStyle w:val="BodyText"/>
        <w:spacing w:before="9"/>
        <w:rPr>
          <w:b/>
          <w:sz w:val="18"/>
        </w:rPr>
      </w:pPr>
    </w:p>
    <w:p w14:paraId="6EC8C275" w14:textId="77777777" w:rsidR="005A709C" w:rsidRDefault="00B007F1">
      <w:pPr>
        <w:spacing w:line="186" w:lineRule="exact"/>
        <w:ind w:left="197"/>
        <w:rPr>
          <w:i/>
          <w:sz w:val="16"/>
        </w:rPr>
      </w:pPr>
      <w:r>
        <w:rPr>
          <w:i/>
          <w:position w:val="5"/>
          <w:sz w:val="11"/>
        </w:rPr>
        <w:t>1</w:t>
      </w:r>
      <w:r>
        <w:rPr>
          <w:i/>
          <w:sz w:val="16"/>
        </w:rPr>
        <w:t>These measures are risk adjusted.</w:t>
      </w:r>
    </w:p>
    <w:p w14:paraId="26D8ED6E" w14:textId="77777777" w:rsidR="005A709C" w:rsidRDefault="00B007F1">
      <w:pPr>
        <w:ind w:left="197" w:right="658"/>
        <w:rPr>
          <w:i/>
          <w:sz w:val="16"/>
        </w:rPr>
      </w:pPr>
      <w:r>
        <w:rPr>
          <w:i/>
          <w:position w:val="5"/>
          <w:sz w:val="11"/>
        </w:rPr>
        <w:t>2</w:t>
      </w:r>
      <w:r>
        <w:rPr>
          <w:i/>
          <w:sz w:val="16"/>
        </w:rPr>
        <w:t>This measure includes some imputed data because there are fewer than 20 resident assessments or stays across the four quarters. This value is used in calculating the QM points and used in the QM rating calculation but will not be displayed on Care Compare.</w:t>
      </w:r>
    </w:p>
    <w:p w14:paraId="6B19503A" w14:textId="77777777" w:rsidR="005A709C" w:rsidRDefault="005A709C">
      <w:pPr>
        <w:pStyle w:val="BodyText"/>
        <w:spacing w:before="6"/>
        <w:rPr>
          <w:i/>
          <w:sz w:val="21"/>
        </w:rPr>
      </w:pPr>
    </w:p>
    <w:tbl>
      <w:tblPr>
        <w:tblW w:w="0" w:type="auto"/>
        <w:tblInd w:w="231"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3024"/>
        <w:gridCol w:w="914"/>
        <w:gridCol w:w="914"/>
        <w:gridCol w:w="914"/>
        <w:gridCol w:w="914"/>
        <w:gridCol w:w="914"/>
        <w:gridCol w:w="914"/>
        <w:gridCol w:w="914"/>
      </w:tblGrid>
      <w:tr w:rsidR="005A709C" w14:paraId="313A1372" w14:textId="77777777">
        <w:trPr>
          <w:trHeight w:val="273"/>
        </w:trPr>
        <w:tc>
          <w:tcPr>
            <w:tcW w:w="3024" w:type="dxa"/>
          </w:tcPr>
          <w:p w14:paraId="4527B4E9" w14:textId="77777777" w:rsidR="005A709C" w:rsidRDefault="005A709C">
            <w:pPr>
              <w:pStyle w:val="TableParagraph"/>
              <w:spacing w:before="0"/>
              <w:rPr>
                <w:rFonts w:ascii="Times New Roman"/>
                <w:sz w:val="16"/>
              </w:rPr>
            </w:pPr>
          </w:p>
        </w:tc>
        <w:tc>
          <w:tcPr>
            <w:tcW w:w="3656" w:type="dxa"/>
            <w:gridSpan w:val="4"/>
          </w:tcPr>
          <w:p w14:paraId="1F542198" w14:textId="77777777" w:rsidR="005A709C" w:rsidRDefault="00B007F1">
            <w:pPr>
              <w:pStyle w:val="TableParagraph"/>
              <w:ind w:left="1207"/>
              <w:rPr>
                <w:b/>
                <w:sz w:val="16"/>
              </w:rPr>
            </w:pPr>
            <w:r>
              <w:rPr>
                <w:b/>
                <w:color w:val="000080"/>
                <w:sz w:val="16"/>
              </w:rPr>
              <w:t>Provider 335127</w:t>
            </w:r>
          </w:p>
        </w:tc>
        <w:tc>
          <w:tcPr>
            <w:tcW w:w="914" w:type="dxa"/>
          </w:tcPr>
          <w:p w14:paraId="79997A9D" w14:textId="77777777" w:rsidR="005A709C" w:rsidRDefault="00B007F1">
            <w:pPr>
              <w:pStyle w:val="TableParagraph"/>
              <w:ind w:left="344"/>
              <w:rPr>
                <w:b/>
                <w:sz w:val="16"/>
              </w:rPr>
            </w:pPr>
            <w:r>
              <w:rPr>
                <w:b/>
                <w:color w:val="800080"/>
                <w:sz w:val="16"/>
              </w:rPr>
              <w:t>NY</w:t>
            </w:r>
          </w:p>
        </w:tc>
        <w:tc>
          <w:tcPr>
            <w:tcW w:w="1828" w:type="dxa"/>
            <w:gridSpan w:val="2"/>
          </w:tcPr>
          <w:p w14:paraId="1001D44C" w14:textId="77777777" w:rsidR="005A709C" w:rsidRDefault="00B007F1">
            <w:pPr>
              <w:pStyle w:val="TableParagraph"/>
              <w:ind w:left="784" w:right="776"/>
              <w:jc w:val="center"/>
              <w:rPr>
                <w:b/>
                <w:sz w:val="16"/>
              </w:rPr>
            </w:pPr>
            <w:r>
              <w:rPr>
                <w:b/>
                <w:sz w:val="16"/>
              </w:rPr>
              <w:t>US</w:t>
            </w:r>
          </w:p>
        </w:tc>
      </w:tr>
      <w:tr w:rsidR="005A709C" w14:paraId="1404093C" w14:textId="77777777">
        <w:trPr>
          <w:trHeight w:val="655"/>
        </w:trPr>
        <w:tc>
          <w:tcPr>
            <w:tcW w:w="3024" w:type="dxa"/>
          </w:tcPr>
          <w:p w14:paraId="1C08B9DC" w14:textId="77777777" w:rsidR="005A709C" w:rsidRDefault="005A709C">
            <w:pPr>
              <w:pStyle w:val="TableParagraph"/>
              <w:spacing w:before="0"/>
              <w:rPr>
                <w:i/>
                <w:sz w:val="18"/>
              </w:rPr>
            </w:pPr>
          </w:p>
          <w:p w14:paraId="15CEDE4D" w14:textId="77777777" w:rsidR="005A709C" w:rsidRDefault="005A709C">
            <w:pPr>
              <w:pStyle w:val="TableParagraph"/>
              <w:spacing w:before="7"/>
              <w:rPr>
                <w:i/>
                <w:sz w:val="17"/>
              </w:rPr>
            </w:pPr>
          </w:p>
          <w:p w14:paraId="3C32FE59" w14:textId="77777777" w:rsidR="005A709C" w:rsidRDefault="00B007F1">
            <w:pPr>
              <w:pStyle w:val="TableParagraph"/>
              <w:spacing w:before="0"/>
              <w:ind w:left="59"/>
              <w:rPr>
                <w:b/>
                <w:sz w:val="16"/>
              </w:rPr>
            </w:pPr>
            <w:r>
              <w:rPr>
                <w:b/>
                <w:sz w:val="16"/>
              </w:rPr>
              <w:t>Claims-Based Long-Stay Measures</w:t>
            </w:r>
          </w:p>
        </w:tc>
        <w:tc>
          <w:tcPr>
            <w:tcW w:w="914" w:type="dxa"/>
          </w:tcPr>
          <w:p w14:paraId="0B547606" w14:textId="77777777" w:rsidR="005A709C" w:rsidRDefault="005A709C">
            <w:pPr>
              <w:pStyle w:val="TableParagraph"/>
              <w:spacing w:before="11"/>
              <w:rPr>
                <w:i/>
                <w:sz w:val="18"/>
              </w:rPr>
            </w:pPr>
          </w:p>
          <w:p w14:paraId="424087EA" w14:textId="77777777" w:rsidR="005A709C" w:rsidRDefault="00B007F1">
            <w:pPr>
              <w:pStyle w:val="TableParagraph"/>
              <w:spacing w:before="0" w:line="247" w:lineRule="auto"/>
              <w:ind w:left="249" w:right="69" w:hanging="168"/>
              <w:rPr>
                <w:b/>
                <w:sz w:val="11"/>
              </w:rPr>
            </w:pPr>
            <w:r>
              <w:rPr>
                <w:b/>
                <w:color w:val="000080"/>
                <w:sz w:val="16"/>
              </w:rPr>
              <w:t>Observed Rate</w:t>
            </w:r>
            <w:r>
              <w:rPr>
                <w:b/>
                <w:color w:val="000080"/>
                <w:position w:val="5"/>
                <w:sz w:val="11"/>
              </w:rPr>
              <w:t>3</w:t>
            </w:r>
          </w:p>
        </w:tc>
        <w:tc>
          <w:tcPr>
            <w:tcW w:w="914" w:type="dxa"/>
          </w:tcPr>
          <w:p w14:paraId="40AAFDA4" w14:textId="77777777" w:rsidR="005A709C" w:rsidRDefault="005A709C">
            <w:pPr>
              <w:pStyle w:val="TableParagraph"/>
              <w:spacing w:before="11"/>
              <w:rPr>
                <w:i/>
                <w:sz w:val="18"/>
              </w:rPr>
            </w:pPr>
          </w:p>
          <w:p w14:paraId="7AD14A0D" w14:textId="77777777" w:rsidR="005A709C" w:rsidRDefault="00B007F1">
            <w:pPr>
              <w:pStyle w:val="TableParagraph"/>
              <w:spacing w:before="0" w:line="247" w:lineRule="auto"/>
              <w:ind w:left="249" w:right="82" w:hanging="154"/>
              <w:rPr>
                <w:b/>
                <w:sz w:val="11"/>
              </w:rPr>
            </w:pPr>
            <w:r>
              <w:rPr>
                <w:b/>
                <w:color w:val="000080"/>
                <w:sz w:val="16"/>
              </w:rPr>
              <w:t>Expected Rate</w:t>
            </w:r>
            <w:r>
              <w:rPr>
                <w:b/>
                <w:color w:val="000080"/>
                <w:position w:val="5"/>
                <w:sz w:val="11"/>
              </w:rPr>
              <w:t>3</w:t>
            </w:r>
          </w:p>
        </w:tc>
        <w:tc>
          <w:tcPr>
            <w:tcW w:w="914" w:type="dxa"/>
          </w:tcPr>
          <w:p w14:paraId="4A12CDE2" w14:textId="77777777" w:rsidR="005A709C" w:rsidRDefault="00B007F1">
            <w:pPr>
              <w:pStyle w:val="TableParagraph"/>
              <w:spacing w:line="247" w:lineRule="auto"/>
              <w:ind w:left="111" w:right="103" w:hanging="4"/>
              <w:jc w:val="center"/>
              <w:rPr>
                <w:b/>
                <w:sz w:val="11"/>
              </w:rPr>
            </w:pPr>
            <w:r>
              <w:rPr>
                <w:b/>
                <w:color w:val="000080"/>
                <w:sz w:val="16"/>
              </w:rPr>
              <w:t>Risk- Adjusted Rate</w:t>
            </w:r>
            <w:r>
              <w:rPr>
                <w:b/>
                <w:color w:val="000080"/>
                <w:position w:val="5"/>
                <w:sz w:val="11"/>
              </w:rPr>
              <w:t>3</w:t>
            </w:r>
          </w:p>
        </w:tc>
        <w:tc>
          <w:tcPr>
            <w:tcW w:w="914" w:type="dxa"/>
          </w:tcPr>
          <w:p w14:paraId="4E712600" w14:textId="77777777" w:rsidR="005A709C" w:rsidRDefault="005A709C">
            <w:pPr>
              <w:pStyle w:val="TableParagraph"/>
              <w:spacing w:before="2"/>
              <w:rPr>
                <w:i/>
                <w:sz w:val="19"/>
              </w:rPr>
            </w:pPr>
          </w:p>
          <w:p w14:paraId="65CBB21A" w14:textId="77777777" w:rsidR="005A709C" w:rsidRDefault="00B007F1">
            <w:pPr>
              <w:pStyle w:val="TableParagraph"/>
              <w:spacing w:before="0" w:line="247" w:lineRule="auto"/>
              <w:ind w:left="209" w:right="187" w:hanging="5"/>
              <w:rPr>
                <w:b/>
                <w:sz w:val="16"/>
              </w:rPr>
            </w:pPr>
            <w:r>
              <w:rPr>
                <w:b/>
                <w:color w:val="000080"/>
                <w:sz w:val="16"/>
              </w:rPr>
              <w:t>Rating Points</w:t>
            </w:r>
          </w:p>
        </w:tc>
        <w:tc>
          <w:tcPr>
            <w:tcW w:w="914" w:type="dxa"/>
          </w:tcPr>
          <w:p w14:paraId="527C830F" w14:textId="77777777" w:rsidR="005A709C" w:rsidRDefault="00B007F1">
            <w:pPr>
              <w:pStyle w:val="TableParagraph"/>
              <w:spacing w:before="31" w:line="247" w:lineRule="auto"/>
              <w:ind w:left="111" w:right="102" w:hanging="4"/>
              <w:jc w:val="center"/>
              <w:rPr>
                <w:b/>
                <w:sz w:val="16"/>
              </w:rPr>
            </w:pPr>
            <w:r>
              <w:rPr>
                <w:b/>
                <w:color w:val="800080"/>
                <w:sz w:val="16"/>
              </w:rPr>
              <w:t>Risk- Adjusted Rate</w:t>
            </w:r>
          </w:p>
        </w:tc>
        <w:tc>
          <w:tcPr>
            <w:tcW w:w="914" w:type="dxa"/>
          </w:tcPr>
          <w:p w14:paraId="0DBCBAB5" w14:textId="77777777" w:rsidR="005A709C" w:rsidRDefault="005A709C">
            <w:pPr>
              <w:pStyle w:val="TableParagraph"/>
              <w:spacing w:before="2"/>
              <w:rPr>
                <w:i/>
                <w:sz w:val="19"/>
              </w:rPr>
            </w:pPr>
          </w:p>
          <w:p w14:paraId="1C536695" w14:textId="77777777" w:rsidR="005A709C" w:rsidRDefault="00B007F1">
            <w:pPr>
              <w:pStyle w:val="TableParagraph"/>
              <w:spacing w:before="0" w:line="247" w:lineRule="auto"/>
              <w:ind w:left="282" w:right="68" w:hanging="200"/>
              <w:rPr>
                <w:b/>
                <w:sz w:val="16"/>
              </w:rPr>
            </w:pPr>
            <w:r>
              <w:rPr>
                <w:b/>
                <w:sz w:val="16"/>
              </w:rPr>
              <w:t>Observed Rate</w:t>
            </w:r>
          </w:p>
        </w:tc>
        <w:tc>
          <w:tcPr>
            <w:tcW w:w="914" w:type="dxa"/>
          </w:tcPr>
          <w:p w14:paraId="469317C7" w14:textId="77777777" w:rsidR="005A709C" w:rsidRDefault="00B007F1">
            <w:pPr>
              <w:pStyle w:val="TableParagraph"/>
              <w:spacing w:before="31" w:line="247" w:lineRule="auto"/>
              <w:ind w:left="112" w:right="102" w:hanging="4"/>
              <w:jc w:val="center"/>
              <w:rPr>
                <w:b/>
                <w:sz w:val="16"/>
              </w:rPr>
            </w:pPr>
            <w:r>
              <w:rPr>
                <w:b/>
                <w:sz w:val="16"/>
              </w:rPr>
              <w:t>Risk- Adjusted Rate</w:t>
            </w:r>
          </w:p>
        </w:tc>
      </w:tr>
      <w:tr w:rsidR="005A709C" w14:paraId="7CB36E05" w14:textId="77777777">
        <w:trPr>
          <w:trHeight w:val="643"/>
        </w:trPr>
        <w:tc>
          <w:tcPr>
            <w:tcW w:w="3024" w:type="dxa"/>
            <w:shd w:val="clear" w:color="auto" w:fill="CCCCCC"/>
          </w:tcPr>
          <w:p w14:paraId="79E2F166" w14:textId="77777777" w:rsidR="005A709C" w:rsidRDefault="00B007F1">
            <w:pPr>
              <w:pStyle w:val="TableParagraph"/>
              <w:ind w:left="59" w:right="88"/>
              <w:rPr>
                <w:i/>
                <w:sz w:val="16"/>
              </w:rPr>
            </w:pPr>
            <w:r>
              <w:rPr>
                <w:i/>
                <w:sz w:val="16"/>
              </w:rPr>
              <w:t>Lower rates are better. The time period for data used in reporting is 4/1/2024 through 3/31/2025.</w:t>
            </w:r>
          </w:p>
        </w:tc>
        <w:tc>
          <w:tcPr>
            <w:tcW w:w="914" w:type="dxa"/>
            <w:shd w:val="clear" w:color="auto" w:fill="CCCCCC"/>
          </w:tcPr>
          <w:p w14:paraId="1253D583" w14:textId="77777777" w:rsidR="005A709C" w:rsidRDefault="005A709C">
            <w:pPr>
              <w:pStyle w:val="TableParagraph"/>
              <w:spacing w:before="0"/>
              <w:rPr>
                <w:rFonts w:ascii="Times New Roman"/>
                <w:sz w:val="16"/>
              </w:rPr>
            </w:pPr>
          </w:p>
        </w:tc>
        <w:tc>
          <w:tcPr>
            <w:tcW w:w="914" w:type="dxa"/>
            <w:shd w:val="clear" w:color="auto" w:fill="CCCCCC"/>
          </w:tcPr>
          <w:p w14:paraId="3532B504" w14:textId="77777777" w:rsidR="005A709C" w:rsidRDefault="005A709C">
            <w:pPr>
              <w:pStyle w:val="TableParagraph"/>
              <w:spacing w:before="0"/>
              <w:rPr>
                <w:rFonts w:ascii="Times New Roman"/>
                <w:sz w:val="16"/>
              </w:rPr>
            </w:pPr>
          </w:p>
        </w:tc>
        <w:tc>
          <w:tcPr>
            <w:tcW w:w="914" w:type="dxa"/>
            <w:shd w:val="clear" w:color="auto" w:fill="CCCCCC"/>
          </w:tcPr>
          <w:p w14:paraId="75573DA8" w14:textId="77777777" w:rsidR="005A709C" w:rsidRDefault="005A709C">
            <w:pPr>
              <w:pStyle w:val="TableParagraph"/>
              <w:spacing w:before="0"/>
              <w:rPr>
                <w:rFonts w:ascii="Times New Roman"/>
                <w:sz w:val="16"/>
              </w:rPr>
            </w:pPr>
          </w:p>
        </w:tc>
        <w:tc>
          <w:tcPr>
            <w:tcW w:w="914" w:type="dxa"/>
            <w:shd w:val="clear" w:color="auto" w:fill="CCCCCC"/>
          </w:tcPr>
          <w:p w14:paraId="2EE542C1" w14:textId="77777777" w:rsidR="005A709C" w:rsidRDefault="005A709C">
            <w:pPr>
              <w:pStyle w:val="TableParagraph"/>
              <w:spacing w:before="0"/>
              <w:rPr>
                <w:rFonts w:ascii="Times New Roman"/>
                <w:sz w:val="16"/>
              </w:rPr>
            </w:pPr>
          </w:p>
        </w:tc>
        <w:tc>
          <w:tcPr>
            <w:tcW w:w="914" w:type="dxa"/>
            <w:shd w:val="clear" w:color="auto" w:fill="CCCCCC"/>
          </w:tcPr>
          <w:p w14:paraId="2C3EAF2B" w14:textId="77777777" w:rsidR="005A709C" w:rsidRDefault="005A709C">
            <w:pPr>
              <w:pStyle w:val="TableParagraph"/>
              <w:spacing w:before="0"/>
              <w:rPr>
                <w:rFonts w:ascii="Times New Roman"/>
                <w:sz w:val="16"/>
              </w:rPr>
            </w:pPr>
          </w:p>
        </w:tc>
        <w:tc>
          <w:tcPr>
            <w:tcW w:w="914" w:type="dxa"/>
            <w:shd w:val="clear" w:color="auto" w:fill="CCCCCC"/>
          </w:tcPr>
          <w:p w14:paraId="7BD2E247" w14:textId="77777777" w:rsidR="005A709C" w:rsidRDefault="005A709C">
            <w:pPr>
              <w:pStyle w:val="TableParagraph"/>
              <w:spacing w:before="0"/>
              <w:rPr>
                <w:rFonts w:ascii="Times New Roman"/>
                <w:sz w:val="16"/>
              </w:rPr>
            </w:pPr>
          </w:p>
        </w:tc>
        <w:tc>
          <w:tcPr>
            <w:tcW w:w="914" w:type="dxa"/>
            <w:shd w:val="clear" w:color="auto" w:fill="CCCCCC"/>
          </w:tcPr>
          <w:p w14:paraId="643FBFF1" w14:textId="77777777" w:rsidR="005A709C" w:rsidRDefault="005A709C">
            <w:pPr>
              <w:pStyle w:val="TableParagraph"/>
              <w:spacing w:before="0"/>
              <w:rPr>
                <w:rFonts w:ascii="Times New Roman"/>
                <w:sz w:val="16"/>
              </w:rPr>
            </w:pPr>
          </w:p>
        </w:tc>
      </w:tr>
      <w:tr w:rsidR="005A709C" w14:paraId="3A3CF36E" w14:textId="77777777">
        <w:trPr>
          <w:trHeight w:val="458"/>
        </w:trPr>
        <w:tc>
          <w:tcPr>
            <w:tcW w:w="3024" w:type="dxa"/>
          </w:tcPr>
          <w:p w14:paraId="0A909E1F" w14:textId="77777777" w:rsidR="005A709C" w:rsidRDefault="00B007F1">
            <w:pPr>
              <w:pStyle w:val="TableParagraph"/>
              <w:spacing w:before="30" w:line="237" w:lineRule="auto"/>
              <w:ind w:left="59" w:right="321"/>
              <w:rPr>
                <w:sz w:val="11"/>
              </w:rPr>
            </w:pPr>
            <w:r>
              <w:rPr>
                <w:sz w:val="16"/>
              </w:rPr>
              <w:t>Number of hospitalizations per 1,000 long-stay resident days</w:t>
            </w:r>
            <w:r>
              <w:rPr>
                <w:position w:val="5"/>
                <w:sz w:val="11"/>
              </w:rPr>
              <w:t>1</w:t>
            </w:r>
          </w:p>
        </w:tc>
        <w:tc>
          <w:tcPr>
            <w:tcW w:w="914" w:type="dxa"/>
          </w:tcPr>
          <w:p w14:paraId="690EB8BE" w14:textId="77777777" w:rsidR="005A709C" w:rsidRDefault="00B007F1">
            <w:pPr>
              <w:pStyle w:val="TableParagraph"/>
              <w:ind w:left="205" w:right="205"/>
              <w:jc w:val="center"/>
              <w:rPr>
                <w:sz w:val="16"/>
              </w:rPr>
            </w:pPr>
            <w:r>
              <w:rPr>
                <w:color w:val="000080"/>
                <w:sz w:val="16"/>
              </w:rPr>
              <w:t>0.67</w:t>
            </w:r>
          </w:p>
        </w:tc>
        <w:tc>
          <w:tcPr>
            <w:tcW w:w="914" w:type="dxa"/>
          </w:tcPr>
          <w:p w14:paraId="74D234AD" w14:textId="77777777" w:rsidR="005A709C" w:rsidRDefault="00B007F1">
            <w:pPr>
              <w:pStyle w:val="TableParagraph"/>
              <w:ind w:left="297"/>
              <w:rPr>
                <w:sz w:val="16"/>
              </w:rPr>
            </w:pPr>
            <w:r>
              <w:rPr>
                <w:color w:val="000080"/>
                <w:sz w:val="16"/>
              </w:rPr>
              <w:t>1.40</w:t>
            </w:r>
          </w:p>
        </w:tc>
        <w:tc>
          <w:tcPr>
            <w:tcW w:w="914" w:type="dxa"/>
          </w:tcPr>
          <w:p w14:paraId="3F3BC104" w14:textId="77777777" w:rsidR="005A709C" w:rsidRDefault="00B007F1">
            <w:pPr>
              <w:pStyle w:val="TableParagraph"/>
              <w:ind w:right="293"/>
              <w:jc w:val="right"/>
              <w:rPr>
                <w:sz w:val="16"/>
              </w:rPr>
            </w:pPr>
            <w:r>
              <w:rPr>
                <w:color w:val="000080"/>
                <w:sz w:val="16"/>
              </w:rPr>
              <w:t>0.91</w:t>
            </w:r>
          </w:p>
        </w:tc>
        <w:tc>
          <w:tcPr>
            <w:tcW w:w="914" w:type="dxa"/>
          </w:tcPr>
          <w:p w14:paraId="72688D24" w14:textId="77777777" w:rsidR="005A709C" w:rsidRDefault="00B007F1">
            <w:pPr>
              <w:pStyle w:val="TableParagraph"/>
              <w:ind w:right="314"/>
              <w:jc w:val="right"/>
              <w:rPr>
                <w:sz w:val="16"/>
              </w:rPr>
            </w:pPr>
            <w:r>
              <w:rPr>
                <w:color w:val="000080"/>
                <w:sz w:val="16"/>
              </w:rPr>
              <w:t>135</w:t>
            </w:r>
          </w:p>
        </w:tc>
        <w:tc>
          <w:tcPr>
            <w:tcW w:w="914" w:type="dxa"/>
          </w:tcPr>
          <w:p w14:paraId="2FFBA45A" w14:textId="77777777" w:rsidR="005A709C" w:rsidRDefault="00B007F1">
            <w:pPr>
              <w:pStyle w:val="TableParagraph"/>
              <w:ind w:left="299"/>
              <w:rPr>
                <w:sz w:val="16"/>
              </w:rPr>
            </w:pPr>
            <w:r>
              <w:rPr>
                <w:color w:val="800080"/>
                <w:sz w:val="16"/>
              </w:rPr>
              <w:t>1.68</w:t>
            </w:r>
          </w:p>
        </w:tc>
        <w:tc>
          <w:tcPr>
            <w:tcW w:w="914" w:type="dxa"/>
          </w:tcPr>
          <w:p w14:paraId="63DCD75A" w14:textId="77777777" w:rsidR="005A709C" w:rsidRDefault="00B007F1">
            <w:pPr>
              <w:pStyle w:val="TableParagraph"/>
              <w:ind w:left="208" w:right="200"/>
              <w:jc w:val="center"/>
              <w:rPr>
                <w:sz w:val="16"/>
              </w:rPr>
            </w:pPr>
            <w:r>
              <w:rPr>
                <w:sz w:val="16"/>
              </w:rPr>
              <w:t>1.892</w:t>
            </w:r>
          </w:p>
        </w:tc>
        <w:tc>
          <w:tcPr>
            <w:tcW w:w="914" w:type="dxa"/>
          </w:tcPr>
          <w:p w14:paraId="2A3E7C8D" w14:textId="77777777" w:rsidR="005A709C" w:rsidRDefault="00B007F1">
            <w:pPr>
              <w:pStyle w:val="TableParagraph"/>
              <w:ind w:left="299"/>
              <w:rPr>
                <w:sz w:val="16"/>
              </w:rPr>
            </w:pPr>
            <w:r>
              <w:rPr>
                <w:sz w:val="16"/>
              </w:rPr>
              <w:t>1.86</w:t>
            </w:r>
          </w:p>
        </w:tc>
      </w:tr>
      <w:tr w:rsidR="005A709C" w14:paraId="50D902EE" w14:textId="77777777">
        <w:trPr>
          <w:trHeight w:val="458"/>
        </w:trPr>
        <w:tc>
          <w:tcPr>
            <w:tcW w:w="3024" w:type="dxa"/>
          </w:tcPr>
          <w:p w14:paraId="4F53A45E" w14:textId="77777777" w:rsidR="005A709C" w:rsidRDefault="00B007F1">
            <w:pPr>
              <w:pStyle w:val="TableParagraph"/>
              <w:spacing w:before="30" w:line="237" w:lineRule="auto"/>
              <w:ind w:left="59"/>
              <w:rPr>
                <w:sz w:val="11"/>
              </w:rPr>
            </w:pPr>
            <w:r>
              <w:rPr>
                <w:sz w:val="16"/>
              </w:rPr>
              <w:t>Number of emergency department visits per 1,000 long-stay resident days</w:t>
            </w:r>
            <w:r>
              <w:rPr>
                <w:position w:val="5"/>
                <w:sz w:val="11"/>
              </w:rPr>
              <w:t>1</w:t>
            </w:r>
          </w:p>
        </w:tc>
        <w:tc>
          <w:tcPr>
            <w:tcW w:w="914" w:type="dxa"/>
          </w:tcPr>
          <w:p w14:paraId="56D58915" w14:textId="77777777" w:rsidR="005A709C" w:rsidRDefault="00B007F1">
            <w:pPr>
              <w:pStyle w:val="TableParagraph"/>
              <w:ind w:left="205" w:right="205"/>
              <w:jc w:val="center"/>
              <w:rPr>
                <w:sz w:val="16"/>
              </w:rPr>
            </w:pPr>
            <w:r>
              <w:rPr>
                <w:color w:val="000080"/>
                <w:sz w:val="16"/>
              </w:rPr>
              <w:t>0.91</w:t>
            </w:r>
          </w:p>
        </w:tc>
        <w:tc>
          <w:tcPr>
            <w:tcW w:w="914" w:type="dxa"/>
          </w:tcPr>
          <w:p w14:paraId="58F8C9C9" w14:textId="77777777" w:rsidR="005A709C" w:rsidRDefault="00B007F1">
            <w:pPr>
              <w:pStyle w:val="TableParagraph"/>
              <w:ind w:left="297"/>
              <w:rPr>
                <w:sz w:val="16"/>
              </w:rPr>
            </w:pPr>
            <w:r>
              <w:rPr>
                <w:color w:val="000080"/>
                <w:sz w:val="16"/>
              </w:rPr>
              <w:t>1.40</w:t>
            </w:r>
          </w:p>
        </w:tc>
        <w:tc>
          <w:tcPr>
            <w:tcW w:w="914" w:type="dxa"/>
          </w:tcPr>
          <w:p w14:paraId="5B621815" w14:textId="77777777" w:rsidR="005A709C" w:rsidRDefault="00B007F1">
            <w:pPr>
              <w:pStyle w:val="TableParagraph"/>
              <w:ind w:right="293"/>
              <w:jc w:val="right"/>
              <w:rPr>
                <w:sz w:val="16"/>
              </w:rPr>
            </w:pPr>
            <w:r>
              <w:rPr>
                <w:color w:val="000080"/>
                <w:sz w:val="16"/>
              </w:rPr>
              <w:t>1.09</w:t>
            </w:r>
          </w:p>
        </w:tc>
        <w:tc>
          <w:tcPr>
            <w:tcW w:w="914" w:type="dxa"/>
          </w:tcPr>
          <w:p w14:paraId="5D42C554" w14:textId="77777777" w:rsidR="005A709C" w:rsidRDefault="00B007F1">
            <w:pPr>
              <w:pStyle w:val="TableParagraph"/>
              <w:ind w:right="361"/>
              <w:jc w:val="right"/>
              <w:rPr>
                <w:sz w:val="16"/>
              </w:rPr>
            </w:pPr>
            <w:r>
              <w:rPr>
                <w:color w:val="000080"/>
                <w:sz w:val="16"/>
              </w:rPr>
              <w:t>90</w:t>
            </w:r>
          </w:p>
        </w:tc>
        <w:tc>
          <w:tcPr>
            <w:tcW w:w="914" w:type="dxa"/>
          </w:tcPr>
          <w:p w14:paraId="65991057" w14:textId="77777777" w:rsidR="005A709C" w:rsidRDefault="00B007F1">
            <w:pPr>
              <w:pStyle w:val="TableParagraph"/>
              <w:ind w:left="299"/>
              <w:rPr>
                <w:sz w:val="16"/>
              </w:rPr>
            </w:pPr>
            <w:r>
              <w:rPr>
                <w:color w:val="800080"/>
                <w:sz w:val="16"/>
              </w:rPr>
              <w:t>1.34</w:t>
            </w:r>
          </w:p>
        </w:tc>
        <w:tc>
          <w:tcPr>
            <w:tcW w:w="914" w:type="dxa"/>
          </w:tcPr>
          <w:p w14:paraId="3C14B7DE" w14:textId="77777777" w:rsidR="005A709C" w:rsidRDefault="00B007F1">
            <w:pPr>
              <w:pStyle w:val="TableParagraph"/>
              <w:ind w:left="208" w:right="200"/>
              <w:jc w:val="center"/>
              <w:rPr>
                <w:sz w:val="16"/>
              </w:rPr>
            </w:pPr>
            <w:r>
              <w:rPr>
                <w:sz w:val="16"/>
              </w:rPr>
              <w:t>1.669</w:t>
            </w:r>
          </w:p>
        </w:tc>
        <w:tc>
          <w:tcPr>
            <w:tcW w:w="914" w:type="dxa"/>
          </w:tcPr>
          <w:p w14:paraId="01DE8676" w14:textId="77777777" w:rsidR="005A709C" w:rsidRDefault="00B007F1">
            <w:pPr>
              <w:pStyle w:val="TableParagraph"/>
              <w:ind w:left="299"/>
              <w:rPr>
                <w:sz w:val="16"/>
              </w:rPr>
            </w:pPr>
            <w:r>
              <w:rPr>
                <w:sz w:val="16"/>
              </w:rPr>
              <w:t>1.79</w:t>
            </w:r>
          </w:p>
        </w:tc>
      </w:tr>
    </w:tbl>
    <w:p w14:paraId="305248CB" w14:textId="77777777" w:rsidR="005A709C" w:rsidRDefault="005A709C">
      <w:pPr>
        <w:pStyle w:val="BodyText"/>
        <w:spacing w:before="9"/>
        <w:rPr>
          <w:i/>
          <w:sz w:val="18"/>
        </w:rPr>
      </w:pPr>
    </w:p>
    <w:p w14:paraId="5FBF668A" w14:textId="77777777" w:rsidR="005A709C" w:rsidRDefault="00B007F1">
      <w:pPr>
        <w:spacing w:line="186" w:lineRule="exact"/>
        <w:ind w:left="197"/>
        <w:rPr>
          <w:i/>
          <w:sz w:val="16"/>
        </w:rPr>
      </w:pPr>
      <w:r>
        <w:rPr>
          <w:i/>
          <w:position w:val="5"/>
          <w:sz w:val="11"/>
        </w:rPr>
        <w:t>1</w:t>
      </w:r>
      <w:r>
        <w:rPr>
          <w:i/>
          <w:sz w:val="16"/>
        </w:rPr>
        <w:t>These measures are risk adjusted.</w:t>
      </w:r>
    </w:p>
    <w:p w14:paraId="4CCDB152" w14:textId="77777777" w:rsidR="005A709C" w:rsidRDefault="00B007F1">
      <w:pPr>
        <w:ind w:left="197" w:right="658"/>
        <w:rPr>
          <w:i/>
          <w:sz w:val="16"/>
        </w:rPr>
      </w:pPr>
      <w:r>
        <w:rPr>
          <w:i/>
          <w:position w:val="5"/>
          <w:sz w:val="11"/>
        </w:rPr>
        <w:t>2</w:t>
      </w:r>
      <w:r>
        <w:rPr>
          <w:i/>
          <w:sz w:val="16"/>
        </w:rPr>
        <w:t>This measure includes some imputed data because there are fewer than 20 resident assessments or stays across the four quarters. This value is used in calculating the QM points and used in the QM rating calculation but will not be displayed on Care Compare.</w:t>
      </w:r>
    </w:p>
    <w:p w14:paraId="0A1873EE" w14:textId="77777777" w:rsidR="005A709C" w:rsidRDefault="00B007F1">
      <w:pPr>
        <w:ind w:left="197" w:right="520"/>
        <w:rPr>
          <w:i/>
          <w:sz w:val="16"/>
        </w:rPr>
      </w:pPr>
      <w:r>
        <w:rPr>
          <w:i/>
          <w:position w:val="5"/>
          <w:sz w:val="11"/>
        </w:rPr>
        <w:t>3</w:t>
      </w:r>
      <w:r>
        <w:rPr>
          <w:i/>
          <w:sz w:val="16"/>
        </w:rPr>
        <w:t>The observed rate is the actual rate observed for the facility without any risk-adjustment; the expected rate is the rate that would be expected for the facility given the risk-adjustment profile of the facility; and the risk-adjusted rate is adjusted for the expected rate of the outcome and is calculated as (observed rate for facility / expected rate for facility) * US observed rate. Only the risk-adjusted rate will appear on Care Compare.</w:t>
      </w:r>
    </w:p>
    <w:p w14:paraId="67241C78" w14:textId="77777777" w:rsidR="005A709C" w:rsidRDefault="005A709C">
      <w:pPr>
        <w:pStyle w:val="BodyText"/>
        <w:spacing w:before="6"/>
        <w:rPr>
          <w:i/>
          <w:sz w:val="21"/>
        </w:rPr>
      </w:pPr>
    </w:p>
    <w:tbl>
      <w:tblPr>
        <w:tblW w:w="0" w:type="auto"/>
        <w:tblInd w:w="252"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7459"/>
        <w:gridCol w:w="1920"/>
      </w:tblGrid>
      <w:tr w:rsidR="005A709C" w14:paraId="53DE0D60" w14:textId="77777777">
        <w:trPr>
          <w:trHeight w:val="381"/>
        </w:trPr>
        <w:tc>
          <w:tcPr>
            <w:tcW w:w="7459" w:type="dxa"/>
          </w:tcPr>
          <w:p w14:paraId="6F650B78" w14:textId="77777777" w:rsidR="005A709C" w:rsidRDefault="00B007F1">
            <w:pPr>
              <w:pStyle w:val="TableParagraph"/>
              <w:spacing w:before="81"/>
              <w:ind w:left="59"/>
              <w:rPr>
                <w:sz w:val="16"/>
              </w:rPr>
            </w:pPr>
            <w:r>
              <w:rPr>
                <w:sz w:val="16"/>
              </w:rPr>
              <w:t>Total Long-Stay Quality Measure Score</w:t>
            </w:r>
          </w:p>
        </w:tc>
        <w:tc>
          <w:tcPr>
            <w:tcW w:w="1920" w:type="dxa"/>
          </w:tcPr>
          <w:p w14:paraId="1275FFAB" w14:textId="77777777" w:rsidR="005A709C" w:rsidRDefault="00B007F1">
            <w:pPr>
              <w:pStyle w:val="TableParagraph"/>
              <w:spacing w:before="81"/>
              <w:ind w:left="601" w:right="600"/>
              <w:jc w:val="center"/>
              <w:rPr>
                <w:sz w:val="16"/>
              </w:rPr>
            </w:pPr>
            <w:r>
              <w:rPr>
                <w:color w:val="000080"/>
                <w:sz w:val="16"/>
              </w:rPr>
              <w:t>675</w:t>
            </w:r>
          </w:p>
        </w:tc>
      </w:tr>
      <w:tr w:rsidR="005A709C" w14:paraId="38E4D23B" w14:textId="77777777">
        <w:trPr>
          <w:trHeight w:val="381"/>
        </w:trPr>
        <w:tc>
          <w:tcPr>
            <w:tcW w:w="7459" w:type="dxa"/>
          </w:tcPr>
          <w:p w14:paraId="08B3F5F1" w14:textId="77777777" w:rsidR="005A709C" w:rsidRDefault="00B007F1">
            <w:pPr>
              <w:pStyle w:val="TableParagraph"/>
              <w:spacing w:before="81"/>
              <w:ind w:left="59"/>
              <w:rPr>
                <w:sz w:val="16"/>
              </w:rPr>
            </w:pPr>
            <w:r>
              <w:rPr>
                <w:sz w:val="16"/>
              </w:rPr>
              <w:t>Long-Stay Quality Measure Star Rating</w:t>
            </w:r>
          </w:p>
        </w:tc>
        <w:tc>
          <w:tcPr>
            <w:tcW w:w="1920" w:type="dxa"/>
          </w:tcPr>
          <w:p w14:paraId="7AEEDEC3" w14:textId="77777777" w:rsidR="005A709C" w:rsidRDefault="00B007F1">
            <w:pPr>
              <w:pStyle w:val="TableParagraph"/>
              <w:spacing w:before="103"/>
              <w:ind w:left="601" w:right="601"/>
              <w:jc w:val="center"/>
              <w:rPr>
                <w:rFonts w:ascii="Times New Roman" w:hAnsi="Times New Roman"/>
                <w:sz w:val="16"/>
              </w:rPr>
            </w:pPr>
            <w:r>
              <w:rPr>
                <w:rFonts w:ascii="Times New Roman" w:hAnsi="Times New Roman"/>
                <w:color w:val="000080"/>
                <w:w w:val="105"/>
                <w:sz w:val="16"/>
              </w:rPr>
              <w:t>★★★★</w:t>
            </w:r>
          </w:p>
        </w:tc>
      </w:tr>
    </w:tbl>
    <w:p w14:paraId="3D61F0C8" w14:textId="77777777" w:rsidR="005A709C" w:rsidRDefault="005A709C">
      <w:pPr>
        <w:jc w:val="center"/>
        <w:rPr>
          <w:rFonts w:ascii="Times New Roman" w:hAnsi="Times New Roman"/>
          <w:sz w:val="16"/>
        </w:rPr>
        <w:sectPr w:rsidR="005A709C">
          <w:pgSz w:w="12240" w:h="15840"/>
          <w:pgMar w:top="1020" w:right="1120" w:bottom="280" w:left="1000" w:header="805" w:footer="0" w:gutter="0"/>
          <w:cols w:space="720"/>
        </w:sectPr>
      </w:pPr>
    </w:p>
    <w:p w14:paraId="715F1034" w14:textId="77777777" w:rsidR="005A709C" w:rsidRDefault="005A709C">
      <w:pPr>
        <w:pStyle w:val="BodyText"/>
        <w:spacing w:before="7"/>
        <w:rPr>
          <w:i/>
          <w:sz w:val="14"/>
        </w:rPr>
      </w:pPr>
    </w:p>
    <w:p w14:paraId="66FD9C24" w14:textId="77777777" w:rsidR="005A709C" w:rsidRDefault="00B007F1">
      <w:pPr>
        <w:pStyle w:val="Heading3"/>
        <w:spacing w:before="94"/>
        <w:ind w:left="1909" w:right="2147"/>
        <w:jc w:val="center"/>
      </w:pPr>
      <w:r>
        <w:t>Short-Stay Quality Measures that are Included in the QM Rating</w:t>
      </w:r>
    </w:p>
    <w:p w14:paraId="2A5BF7A8" w14:textId="77777777" w:rsidR="005A709C" w:rsidRDefault="005A709C">
      <w:pPr>
        <w:pStyle w:val="BodyText"/>
        <w:spacing w:before="4"/>
        <w:rPr>
          <w:b/>
          <w:sz w:val="21"/>
        </w:rPr>
      </w:pPr>
    </w:p>
    <w:tbl>
      <w:tblPr>
        <w:tblW w:w="0" w:type="auto"/>
        <w:tblInd w:w="231"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3264"/>
        <w:gridCol w:w="770"/>
        <w:gridCol w:w="770"/>
        <w:gridCol w:w="770"/>
        <w:gridCol w:w="770"/>
        <w:gridCol w:w="770"/>
        <w:gridCol w:w="770"/>
        <w:gridCol w:w="770"/>
        <w:gridCol w:w="768"/>
      </w:tblGrid>
      <w:tr w:rsidR="005A709C" w14:paraId="7F9B72A8" w14:textId="77777777">
        <w:trPr>
          <w:trHeight w:val="273"/>
        </w:trPr>
        <w:tc>
          <w:tcPr>
            <w:tcW w:w="3264" w:type="dxa"/>
          </w:tcPr>
          <w:p w14:paraId="2538B50F" w14:textId="77777777" w:rsidR="005A709C" w:rsidRDefault="005A709C">
            <w:pPr>
              <w:pStyle w:val="TableParagraph"/>
              <w:spacing w:before="0"/>
              <w:rPr>
                <w:rFonts w:ascii="Times New Roman"/>
                <w:sz w:val="16"/>
              </w:rPr>
            </w:pPr>
          </w:p>
        </w:tc>
        <w:tc>
          <w:tcPr>
            <w:tcW w:w="4620" w:type="dxa"/>
            <w:gridSpan w:val="6"/>
          </w:tcPr>
          <w:p w14:paraId="0B86CFCD" w14:textId="77777777" w:rsidR="005A709C" w:rsidRDefault="00B007F1">
            <w:pPr>
              <w:pStyle w:val="TableParagraph"/>
              <w:ind w:left="1676" w:right="1671"/>
              <w:jc w:val="center"/>
              <w:rPr>
                <w:b/>
                <w:sz w:val="16"/>
              </w:rPr>
            </w:pPr>
            <w:r>
              <w:rPr>
                <w:b/>
                <w:color w:val="000080"/>
                <w:sz w:val="16"/>
              </w:rPr>
              <w:t>Provider 335127</w:t>
            </w:r>
          </w:p>
        </w:tc>
        <w:tc>
          <w:tcPr>
            <w:tcW w:w="770" w:type="dxa"/>
          </w:tcPr>
          <w:p w14:paraId="4DDEACA9" w14:textId="77777777" w:rsidR="005A709C" w:rsidRDefault="00B007F1">
            <w:pPr>
              <w:pStyle w:val="TableParagraph"/>
              <w:ind w:left="78" w:right="72"/>
              <w:jc w:val="center"/>
              <w:rPr>
                <w:b/>
                <w:sz w:val="16"/>
              </w:rPr>
            </w:pPr>
            <w:r>
              <w:rPr>
                <w:b/>
                <w:color w:val="800080"/>
                <w:sz w:val="16"/>
              </w:rPr>
              <w:t>NY</w:t>
            </w:r>
          </w:p>
        </w:tc>
        <w:tc>
          <w:tcPr>
            <w:tcW w:w="768" w:type="dxa"/>
          </w:tcPr>
          <w:p w14:paraId="7292AA48" w14:textId="77777777" w:rsidR="005A709C" w:rsidRDefault="00B007F1">
            <w:pPr>
              <w:pStyle w:val="TableParagraph"/>
              <w:ind w:left="97" w:right="88"/>
              <w:jc w:val="center"/>
              <w:rPr>
                <w:b/>
                <w:sz w:val="16"/>
              </w:rPr>
            </w:pPr>
            <w:r>
              <w:rPr>
                <w:b/>
                <w:sz w:val="16"/>
              </w:rPr>
              <w:t>US</w:t>
            </w:r>
          </w:p>
        </w:tc>
      </w:tr>
      <w:tr w:rsidR="005A709C" w14:paraId="7808AB1C" w14:textId="77777777">
        <w:trPr>
          <w:trHeight w:val="463"/>
        </w:trPr>
        <w:tc>
          <w:tcPr>
            <w:tcW w:w="3264" w:type="dxa"/>
          </w:tcPr>
          <w:p w14:paraId="098A8375" w14:textId="77777777" w:rsidR="005A709C" w:rsidRDefault="005A709C">
            <w:pPr>
              <w:pStyle w:val="TableParagraph"/>
              <w:spacing w:before="11"/>
              <w:rPr>
                <w:b/>
                <w:sz w:val="18"/>
              </w:rPr>
            </w:pPr>
          </w:p>
          <w:p w14:paraId="21E1CCB0" w14:textId="77777777" w:rsidR="005A709C" w:rsidRDefault="00B007F1">
            <w:pPr>
              <w:pStyle w:val="TableParagraph"/>
              <w:spacing w:before="0"/>
              <w:ind w:left="59"/>
              <w:rPr>
                <w:b/>
                <w:sz w:val="16"/>
              </w:rPr>
            </w:pPr>
            <w:r>
              <w:rPr>
                <w:b/>
                <w:sz w:val="16"/>
              </w:rPr>
              <w:t>MDS Short-Stay Measures</w:t>
            </w:r>
          </w:p>
        </w:tc>
        <w:tc>
          <w:tcPr>
            <w:tcW w:w="770" w:type="dxa"/>
          </w:tcPr>
          <w:p w14:paraId="6E7643B7" w14:textId="77777777" w:rsidR="005A709C" w:rsidRDefault="005A709C">
            <w:pPr>
              <w:pStyle w:val="TableParagraph"/>
              <w:spacing w:before="11"/>
              <w:rPr>
                <w:b/>
                <w:sz w:val="18"/>
              </w:rPr>
            </w:pPr>
          </w:p>
          <w:p w14:paraId="4A10C422" w14:textId="77777777" w:rsidR="005A709C" w:rsidRDefault="00B007F1">
            <w:pPr>
              <w:pStyle w:val="TableParagraph"/>
              <w:spacing w:before="0"/>
              <w:ind w:left="76" w:right="74"/>
              <w:jc w:val="center"/>
              <w:rPr>
                <w:b/>
                <w:sz w:val="16"/>
              </w:rPr>
            </w:pPr>
            <w:r>
              <w:rPr>
                <w:b/>
                <w:color w:val="000080"/>
                <w:sz w:val="16"/>
              </w:rPr>
              <w:t>2024Q3</w:t>
            </w:r>
          </w:p>
        </w:tc>
        <w:tc>
          <w:tcPr>
            <w:tcW w:w="770" w:type="dxa"/>
          </w:tcPr>
          <w:p w14:paraId="0041218D" w14:textId="77777777" w:rsidR="005A709C" w:rsidRDefault="005A709C">
            <w:pPr>
              <w:pStyle w:val="TableParagraph"/>
              <w:spacing w:before="11"/>
              <w:rPr>
                <w:b/>
                <w:sz w:val="18"/>
              </w:rPr>
            </w:pPr>
          </w:p>
          <w:p w14:paraId="5DB0BF7D" w14:textId="77777777" w:rsidR="005A709C" w:rsidRDefault="00B007F1">
            <w:pPr>
              <w:pStyle w:val="TableParagraph"/>
              <w:spacing w:before="0"/>
              <w:ind w:left="77" w:right="74"/>
              <w:jc w:val="center"/>
              <w:rPr>
                <w:b/>
                <w:sz w:val="16"/>
              </w:rPr>
            </w:pPr>
            <w:r>
              <w:rPr>
                <w:b/>
                <w:color w:val="000080"/>
                <w:sz w:val="16"/>
              </w:rPr>
              <w:t>2024Q4</w:t>
            </w:r>
          </w:p>
        </w:tc>
        <w:tc>
          <w:tcPr>
            <w:tcW w:w="770" w:type="dxa"/>
          </w:tcPr>
          <w:p w14:paraId="60AF1120" w14:textId="77777777" w:rsidR="005A709C" w:rsidRDefault="005A709C">
            <w:pPr>
              <w:pStyle w:val="TableParagraph"/>
              <w:spacing w:before="11"/>
              <w:rPr>
                <w:b/>
                <w:sz w:val="18"/>
              </w:rPr>
            </w:pPr>
          </w:p>
          <w:p w14:paraId="3730E45F" w14:textId="77777777" w:rsidR="005A709C" w:rsidRDefault="00B007F1">
            <w:pPr>
              <w:pStyle w:val="TableParagraph"/>
              <w:spacing w:before="0"/>
              <w:ind w:left="78" w:right="74"/>
              <w:jc w:val="center"/>
              <w:rPr>
                <w:b/>
                <w:sz w:val="16"/>
              </w:rPr>
            </w:pPr>
            <w:r>
              <w:rPr>
                <w:b/>
                <w:color w:val="000080"/>
                <w:sz w:val="16"/>
              </w:rPr>
              <w:t>2025Q1</w:t>
            </w:r>
          </w:p>
        </w:tc>
        <w:tc>
          <w:tcPr>
            <w:tcW w:w="770" w:type="dxa"/>
          </w:tcPr>
          <w:p w14:paraId="69B5F1FE" w14:textId="77777777" w:rsidR="005A709C" w:rsidRDefault="005A709C">
            <w:pPr>
              <w:pStyle w:val="TableParagraph"/>
              <w:spacing w:before="11"/>
              <w:rPr>
                <w:b/>
                <w:sz w:val="18"/>
              </w:rPr>
            </w:pPr>
          </w:p>
          <w:p w14:paraId="0411832E" w14:textId="77777777" w:rsidR="005A709C" w:rsidRDefault="00B007F1">
            <w:pPr>
              <w:pStyle w:val="TableParagraph"/>
              <w:spacing w:before="0"/>
              <w:ind w:left="78" w:right="74"/>
              <w:jc w:val="center"/>
              <w:rPr>
                <w:b/>
                <w:sz w:val="16"/>
              </w:rPr>
            </w:pPr>
            <w:r>
              <w:rPr>
                <w:b/>
                <w:color w:val="000080"/>
                <w:sz w:val="16"/>
              </w:rPr>
              <w:t>2025Q2</w:t>
            </w:r>
          </w:p>
        </w:tc>
        <w:tc>
          <w:tcPr>
            <w:tcW w:w="770" w:type="dxa"/>
          </w:tcPr>
          <w:p w14:paraId="2EE23063" w14:textId="77777777" w:rsidR="005A709C" w:rsidRDefault="005A709C">
            <w:pPr>
              <w:pStyle w:val="TableParagraph"/>
              <w:spacing w:before="11"/>
              <w:rPr>
                <w:b/>
                <w:sz w:val="18"/>
              </w:rPr>
            </w:pPr>
          </w:p>
          <w:p w14:paraId="3667140B" w14:textId="77777777" w:rsidR="005A709C" w:rsidRDefault="00B007F1">
            <w:pPr>
              <w:pStyle w:val="TableParagraph"/>
              <w:spacing w:before="0"/>
              <w:ind w:right="109"/>
              <w:jc w:val="right"/>
              <w:rPr>
                <w:b/>
                <w:sz w:val="16"/>
              </w:rPr>
            </w:pPr>
            <w:r>
              <w:rPr>
                <w:b/>
                <w:color w:val="000080"/>
                <w:sz w:val="16"/>
              </w:rPr>
              <w:t>4Q avg</w:t>
            </w:r>
          </w:p>
        </w:tc>
        <w:tc>
          <w:tcPr>
            <w:tcW w:w="770" w:type="dxa"/>
          </w:tcPr>
          <w:p w14:paraId="2B78A7D0" w14:textId="77777777" w:rsidR="005A709C" w:rsidRDefault="00B007F1">
            <w:pPr>
              <w:pStyle w:val="TableParagraph"/>
              <w:spacing w:line="247" w:lineRule="auto"/>
              <w:ind w:left="138" w:right="114" w:hanging="5"/>
              <w:rPr>
                <w:b/>
                <w:sz w:val="16"/>
              </w:rPr>
            </w:pPr>
            <w:r>
              <w:rPr>
                <w:b/>
                <w:color w:val="000080"/>
                <w:sz w:val="16"/>
              </w:rPr>
              <w:t>Rating Points</w:t>
            </w:r>
          </w:p>
        </w:tc>
        <w:tc>
          <w:tcPr>
            <w:tcW w:w="770" w:type="dxa"/>
          </w:tcPr>
          <w:p w14:paraId="4ECAAAC8" w14:textId="77777777" w:rsidR="005A709C" w:rsidRDefault="005A709C">
            <w:pPr>
              <w:pStyle w:val="TableParagraph"/>
              <w:spacing w:before="11"/>
              <w:rPr>
                <w:b/>
                <w:sz w:val="18"/>
              </w:rPr>
            </w:pPr>
          </w:p>
          <w:p w14:paraId="50069ACA" w14:textId="77777777" w:rsidR="005A709C" w:rsidRDefault="00B007F1">
            <w:pPr>
              <w:pStyle w:val="TableParagraph"/>
              <w:spacing w:before="0"/>
              <w:ind w:left="78" w:right="74"/>
              <w:jc w:val="center"/>
              <w:rPr>
                <w:b/>
                <w:sz w:val="16"/>
              </w:rPr>
            </w:pPr>
            <w:r>
              <w:rPr>
                <w:b/>
                <w:color w:val="800080"/>
                <w:sz w:val="16"/>
              </w:rPr>
              <w:t>4Q avg</w:t>
            </w:r>
          </w:p>
        </w:tc>
        <w:tc>
          <w:tcPr>
            <w:tcW w:w="768" w:type="dxa"/>
          </w:tcPr>
          <w:p w14:paraId="286D12F2" w14:textId="77777777" w:rsidR="005A709C" w:rsidRDefault="005A709C">
            <w:pPr>
              <w:pStyle w:val="TableParagraph"/>
              <w:spacing w:before="11"/>
              <w:rPr>
                <w:b/>
                <w:sz w:val="18"/>
              </w:rPr>
            </w:pPr>
          </w:p>
          <w:p w14:paraId="7B7CA667" w14:textId="77777777" w:rsidR="005A709C" w:rsidRDefault="00B007F1">
            <w:pPr>
              <w:pStyle w:val="TableParagraph"/>
              <w:spacing w:before="0"/>
              <w:ind w:right="105"/>
              <w:jc w:val="right"/>
              <w:rPr>
                <w:b/>
                <w:sz w:val="16"/>
              </w:rPr>
            </w:pPr>
            <w:r>
              <w:rPr>
                <w:b/>
                <w:sz w:val="16"/>
              </w:rPr>
              <w:t>4Q avg</w:t>
            </w:r>
          </w:p>
        </w:tc>
      </w:tr>
      <w:tr w:rsidR="005A709C" w14:paraId="22C71A26" w14:textId="77777777">
        <w:trPr>
          <w:trHeight w:val="273"/>
        </w:trPr>
        <w:tc>
          <w:tcPr>
            <w:tcW w:w="3264" w:type="dxa"/>
            <w:shd w:val="clear" w:color="auto" w:fill="CCCCCC"/>
          </w:tcPr>
          <w:p w14:paraId="7F994E60" w14:textId="77777777" w:rsidR="005A709C" w:rsidRDefault="00B007F1">
            <w:pPr>
              <w:pStyle w:val="TableParagraph"/>
              <w:ind w:left="59"/>
              <w:rPr>
                <w:i/>
                <w:sz w:val="16"/>
              </w:rPr>
            </w:pPr>
            <w:r>
              <w:rPr>
                <w:i/>
                <w:sz w:val="16"/>
              </w:rPr>
              <w:t>Lower percentages are better.</w:t>
            </w:r>
          </w:p>
        </w:tc>
        <w:tc>
          <w:tcPr>
            <w:tcW w:w="770" w:type="dxa"/>
            <w:shd w:val="clear" w:color="auto" w:fill="CCCCCC"/>
          </w:tcPr>
          <w:p w14:paraId="3760A6CC" w14:textId="77777777" w:rsidR="005A709C" w:rsidRDefault="005A709C">
            <w:pPr>
              <w:pStyle w:val="TableParagraph"/>
              <w:spacing w:before="0"/>
              <w:rPr>
                <w:rFonts w:ascii="Times New Roman"/>
                <w:sz w:val="16"/>
              </w:rPr>
            </w:pPr>
          </w:p>
        </w:tc>
        <w:tc>
          <w:tcPr>
            <w:tcW w:w="770" w:type="dxa"/>
            <w:shd w:val="clear" w:color="auto" w:fill="CCCCCC"/>
          </w:tcPr>
          <w:p w14:paraId="11EBA592" w14:textId="77777777" w:rsidR="005A709C" w:rsidRDefault="005A709C">
            <w:pPr>
              <w:pStyle w:val="TableParagraph"/>
              <w:spacing w:before="0"/>
              <w:rPr>
                <w:rFonts w:ascii="Times New Roman"/>
                <w:sz w:val="16"/>
              </w:rPr>
            </w:pPr>
          </w:p>
        </w:tc>
        <w:tc>
          <w:tcPr>
            <w:tcW w:w="770" w:type="dxa"/>
            <w:shd w:val="clear" w:color="auto" w:fill="CCCCCC"/>
          </w:tcPr>
          <w:p w14:paraId="183B9421" w14:textId="77777777" w:rsidR="005A709C" w:rsidRDefault="005A709C">
            <w:pPr>
              <w:pStyle w:val="TableParagraph"/>
              <w:spacing w:before="0"/>
              <w:rPr>
                <w:rFonts w:ascii="Times New Roman"/>
                <w:sz w:val="16"/>
              </w:rPr>
            </w:pPr>
          </w:p>
        </w:tc>
        <w:tc>
          <w:tcPr>
            <w:tcW w:w="770" w:type="dxa"/>
            <w:shd w:val="clear" w:color="auto" w:fill="CCCCCC"/>
          </w:tcPr>
          <w:p w14:paraId="40AE7168" w14:textId="77777777" w:rsidR="005A709C" w:rsidRDefault="005A709C">
            <w:pPr>
              <w:pStyle w:val="TableParagraph"/>
              <w:spacing w:before="0"/>
              <w:rPr>
                <w:rFonts w:ascii="Times New Roman"/>
                <w:sz w:val="16"/>
              </w:rPr>
            </w:pPr>
          </w:p>
        </w:tc>
        <w:tc>
          <w:tcPr>
            <w:tcW w:w="770" w:type="dxa"/>
            <w:shd w:val="clear" w:color="auto" w:fill="CCCCCC"/>
          </w:tcPr>
          <w:p w14:paraId="7F417E31" w14:textId="77777777" w:rsidR="005A709C" w:rsidRDefault="005A709C">
            <w:pPr>
              <w:pStyle w:val="TableParagraph"/>
              <w:spacing w:before="0"/>
              <w:rPr>
                <w:rFonts w:ascii="Times New Roman"/>
                <w:sz w:val="16"/>
              </w:rPr>
            </w:pPr>
          </w:p>
        </w:tc>
        <w:tc>
          <w:tcPr>
            <w:tcW w:w="770" w:type="dxa"/>
            <w:shd w:val="clear" w:color="auto" w:fill="CCCCCC"/>
          </w:tcPr>
          <w:p w14:paraId="0E930EB9" w14:textId="77777777" w:rsidR="005A709C" w:rsidRDefault="005A709C">
            <w:pPr>
              <w:pStyle w:val="TableParagraph"/>
              <w:spacing w:before="0"/>
              <w:rPr>
                <w:rFonts w:ascii="Times New Roman"/>
                <w:sz w:val="16"/>
              </w:rPr>
            </w:pPr>
          </w:p>
        </w:tc>
        <w:tc>
          <w:tcPr>
            <w:tcW w:w="770" w:type="dxa"/>
            <w:shd w:val="clear" w:color="auto" w:fill="CCCCCC"/>
          </w:tcPr>
          <w:p w14:paraId="3AA8787E" w14:textId="77777777" w:rsidR="005A709C" w:rsidRDefault="005A709C">
            <w:pPr>
              <w:pStyle w:val="TableParagraph"/>
              <w:spacing w:before="0"/>
              <w:rPr>
                <w:rFonts w:ascii="Times New Roman"/>
                <w:sz w:val="16"/>
              </w:rPr>
            </w:pPr>
          </w:p>
        </w:tc>
        <w:tc>
          <w:tcPr>
            <w:tcW w:w="768" w:type="dxa"/>
            <w:shd w:val="clear" w:color="auto" w:fill="CCCCCC"/>
          </w:tcPr>
          <w:p w14:paraId="6C2356D5" w14:textId="77777777" w:rsidR="005A709C" w:rsidRDefault="005A709C">
            <w:pPr>
              <w:pStyle w:val="TableParagraph"/>
              <w:spacing w:before="0"/>
              <w:rPr>
                <w:rFonts w:ascii="Times New Roman"/>
                <w:sz w:val="16"/>
              </w:rPr>
            </w:pPr>
          </w:p>
        </w:tc>
      </w:tr>
      <w:tr w:rsidR="005A709C" w14:paraId="67145F0C" w14:textId="77777777">
        <w:trPr>
          <w:trHeight w:val="458"/>
        </w:trPr>
        <w:tc>
          <w:tcPr>
            <w:tcW w:w="3264" w:type="dxa"/>
          </w:tcPr>
          <w:p w14:paraId="4B42E584" w14:textId="77777777" w:rsidR="005A709C" w:rsidRDefault="00B007F1">
            <w:pPr>
              <w:pStyle w:val="TableParagraph"/>
              <w:ind w:left="59" w:right="133"/>
              <w:rPr>
                <w:sz w:val="16"/>
              </w:rPr>
            </w:pPr>
            <w:r>
              <w:rPr>
                <w:sz w:val="16"/>
              </w:rPr>
              <w:t>Percentage of residents who newly received an antipsychotic medication</w:t>
            </w:r>
          </w:p>
        </w:tc>
        <w:tc>
          <w:tcPr>
            <w:tcW w:w="770" w:type="dxa"/>
          </w:tcPr>
          <w:p w14:paraId="606BDE41" w14:textId="77777777" w:rsidR="005A709C" w:rsidRDefault="00B007F1">
            <w:pPr>
              <w:pStyle w:val="TableParagraph"/>
              <w:ind w:left="75" w:right="74"/>
              <w:jc w:val="center"/>
              <w:rPr>
                <w:sz w:val="16"/>
              </w:rPr>
            </w:pPr>
            <w:r>
              <w:rPr>
                <w:color w:val="000080"/>
                <w:sz w:val="16"/>
              </w:rPr>
              <w:t>0.0%</w:t>
            </w:r>
          </w:p>
        </w:tc>
        <w:tc>
          <w:tcPr>
            <w:tcW w:w="770" w:type="dxa"/>
          </w:tcPr>
          <w:p w14:paraId="253A53A2" w14:textId="77777777" w:rsidR="005A709C" w:rsidRDefault="00B007F1">
            <w:pPr>
              <w:pStyle w:val="TableParagraph"/>
              <w:ind w:left="76" w:right="74"/>
              <w:jc w:val="center"/>
              <w:rPr>
                <w:sz w:val="16"/>
              </w:rPr>
            </w:pPr>
            <w:r>
              <w:rPr>
                <w:color w:val="000080"/>
                <w:sz w:val="16"/>
              </w:rPr>
              <w:t>0.0%</w:t>
            </w:r>
          </w:p>
        </w:tc>
        <w:tc>
          <w:tcPr>
            <w:tcW w:w="770" w:type="dxa"/>
          </w:tcPr>
          <w:p w14:paraId="49A73688" w14:textId="77777777" w:rsidR="005A709C" w:rsidRDefault="00B007F1">
            <w:pPr>
              <w:pStyle w:val="TableParagraph"/>
              <w:ind w:left="77" w:right="74"/>
              <w:jc w:val="center"/>
              <w:rPr>
                <w:sz w:val="16"/>
              </w:rPr>
            </w:pPr>
            <w:r>
              <w:rPr>
                <w:color w:val="000080"/>
                <w:sz w:val="16"/>
              </w:rPr>
              <w:t>0.0%</w:t>
            </w:r>
          </w:p>
        </w:tc>
        <w:tc>
          <w:tcPr>
            <w:tcW w:w="770" w:type="dxa"/>
          </w:tcPr>
          <w:p w14:paraId="2EE3E097" w14:textId="77777777" w:rsidR="005A709C" w:rsidRDefault="00B007F1">
            <w:pPr>
              <w:pStyle w:val="TableParagraph"/>
              <w:ind w:left="78" w:right="74"/>
              <w:jc w:val="center"/>
              <w:rPr>
                <w:sz w:val="16"/>
              </w:rPr>
            </w:pPr>
            <w:r>
              <w:rPr>
                <w:color w:val="000080"/>
                <w:sz w:val="16"/>
              </w:rPr>
              <w:t>0.0%</w:t>
            </w:r>
          </w:p>
        </w:tc>
        <w:tc>
          <w:tcPr>
            <w:tcW w:w="770" w:type="dxa"/>
          </w:tcPr>
          <w:p w14:paraId="772BCAE2" w14:textId="77777777" w:rsidR="005A709C" w:rsidRDefault="00B007F1">
            <w:pPr>
              <w:pStyle w:val="TableParagraph"/>
              <w:ind w:right="193"/>
              <w:jc w:val="right"/>
              <w:rPr>
                <w:sz w:val="16"/>
              </w:rPr>
            </w:pPr>
            <w:r>
              <w:rPr>
                <w:color w:val="000080"/>
                <w:sz w:val="16"/>
              </w:rPr>
              <w:t>0.0%</w:t>
            </w:r>
          </w:p>
        </w:tc>
        <w:tc>
          <w:tcPr>
            <w:tcW w:w="770" w:type="dxa"/>
          </w:tcPr>
          <w:p w14:paraId="66132B9F" w14:textId="77777777" w:rsidR="005A709C" w:rsidRDefault="00B007F1">
            <w:pPr>
              <w:pStyle w:val="TableParagraph"/>
              <w:ind w:left="251"/>
              <w:rPr>
                <w:sz w:val="16"/>
              </w:rPr>
            </w:pPr>
            <w:r>
              <w:rPr>
                <w:color w:val="000080"/>
                <w:sz w:val="16"/>
              </w:rPr>
              <w:t>100</w:t>
            </w:r>
          </w:p>
        </w:tc>
        <w:tc>
          <w:tcPr>
            <w:tcW w:w="770" w:type="dxa"/>
          </w:tcPr>
          <w:p w14:paraId="087D65C8" w14:textId="77777777" w:rsidR="005A709C" w:rsidRDefault="00B007F1">
            <w:pPr>
              <w:pStyle w:val="TableParagraph"/>
              <w:ind w:left="78" w:right="72"/>
              <w:jc w:val="center"/>
              <w:rPr>
                <w:sz w:val="16"/>
              </w:rPr>
            </w:pPr>
            <w:r>
              <w:rPr>
                <w:color w:val="800080"/>
                <w:sz w:val="16"/>
              </w:rPr>
              <w:t>1.3%</w:t>
            </w:r>
          </w:p>
        </w:tc>
        <w:tc>
          <w:tcPr>
            <w:tcW w:w="768" w:type="dxa"/>
          </w:tcPr>
          <w:p w14:paraId="4DB6562A" w14:textId="77777777" w:rsidR="005A709C" w:rsidRDefault="00B007F1">
            <w:pPr>
              <w:pStyle w:val="TableParagraph"/>
              <w:ind w:right="190"/>
              <w:jc w:val="right"/>
              <w:rPr>
                <w:sz w:val="16"/>
              </w:rPr>
            </w:pPr>
            <w:r>
              <w:rPr>
                <w:sz w:val="16"/>
              </w:rPr>
              <w:t>1.5%</w:t>
            </w:r>
          </w:p>
        </w:tc>
      </w:tr>
      <w:tr w:rsidR="005A709C" w14:paraId="2DA3A7FA" w14:textId="77777777">
        <w:trPr>
          <w:trHeight w:val="194"/>
        </w:trPr>
        <w:tc>
          <w:tcPr>
            <w:tcW w:w="3264" w:type="dxa"/>
            <w:shd w:val="clear" w:color="auto" w:fill="404040"/>
          </w:tcPr>
          <w:p w14:paraId="138F4EBE" w14:textId="77777777" w:rsidR="005A709C" w:rsidRDefault="005A709C">
            <w:pPr>
              <w:pStyle w:val="TableParagraph"/>
              <w:spacing w:before="0"/>
              <w:rPr>
                <w:rFonts w:ascii="Times New Roman"/>
                <w:sz w:val="12"/>
              </w:rPr>
            </w:pPr>
          </w:p>
        </w:tc>
        <w:tc>
          <w:tcPr>
            <w:tcW w:w="770" w:type="dxa"/>
            <w:shd w:val="clear" w:color="auto" w:fill="404040"/>
          </w:tcPr>
          <w:p w14:paraId="7BCC7A67" w14:textId="77777777" w:rsidR="005A709C" w:rsidRDefault="005A709C">
            <w:pPr>
              <w:pStyle w:val="TableParagraph"/>
              <w:spacing w:before="0"/>
              <w:rPr>
                <w:rFonts w:ascii="Times New Roman"/>
                <w:sz w:val="12"/>
              </w:rPr>
            </w:pPr>
          </w:p>
        </w:tc>
        <w:tc>
          <w:tcPr>
            <w:tcW w:w="770" w:type="dxa"/>
            <w:shd w:val="clear" w:color="auto" w:fill="404040"/>
          </w:tcPr>
          <w:p w14:paraId="6E80C823" w14:textId="77777777" w:rsidR="005A709C" w:rsidRDefault="005A709C">
            <w:pPr>
              <w:pStyle w:val="TableParagraph"/>
              <w:spacing w:before="0"/>
              <w:rPr>
                <w:rFonts w:ascii="Times New Roman"/>
                <w:sz w:val="12"/>
              </w:rPr>
            </w:pPr>
          </w:p>
        </w:tc>
        <w:tc>
          <w:tcPr>
            <w:tcW w:w="770" w:type="dxa"/>
            <w:shd w:val="clear" w:color="auto" w:fill="404040"/>
          </w:tcPr>
          <w:p w14:paraId="5D8AD755" w14:textId="77777777" w:rsidR="005A709C" w:rsidRDefault="005A709C">
            <w:pPr>
              <w:pStyle w:val="TableParagraph"/>
              <w:spacing w:before="0"/>
              <w:rPr>
                <w:rFonts w:ascii="Times New Roman"/>
                <w:sz w:val="12"/>
              </w:rPr>
            </w:pPr>
          </w:p>
        </w:tc>
        <w:tc>
          <w:tcPr>
            <w:tcW w:w="770" w:type="dxa"/>
            <w:shd w:val="clear" w:color="auto" w:fill="404040"/>
          </w:tcPr>
          <w:p w14:paraId="3273B205" w14:textId="77777777" w:rsidR="005A709C" w:rsidRDefault="005A709C">
            <w:pPr>
              <w:pStyle w:val="TableParagraph"/>
              <w:spacing w:before="0"/>
              <w:rPr>
                <w:rFonts w:ascii="Times New Roman"/>
                <w:sz w:val="12"/>
              </w:rPr>
            </w:pPr>
          </w:p>
        </w:tc>
        <w:tc>
          <w:tcPr>
            <w:tcW w:w="770" w:type="dxa"/>
            <w:shd w:val="clear" w:color="auto" w:fill="404040"/>
          </w:tcPr>
          <w:p w14:paraId="1B813100" w14:textId="77777777" w:rsidR="005A709C" w:rsidRDefault="005A709C">
            <w:pPr>
              <w:pStyle w:val="TableParagraph"/>
              <w:spacing w:before="0"/>
              <w:rPr>
                <w:rFonts w:ascii="Times New Roman"/>
                <w:sz w:val="12"/>
              </w:rPr>
            </w:pPr>
          </w:p>
        </w:tc>
        <w:tc>
          <w:tcPr>
            <w:tcW w:w="770" w:type="dxa"/>
            <w:shd w:val="clear" w:color="auto" w:fill="404040"/>
          </w:tcPr>
          <w:p w14:paraId="464195E8" w14:textId="77777777" w:rsidR="005A709C" w:rsidRDefault="005A709C">
            <w:pPr>
              <w:pStyle w:val="TableParagraph"/>
              <w:spacing w:before="0"/>
              <w:rPr>
                <w:rFonts w:ascii="Times New Roman"/>
                <w:sz w:val="12"/>
              </w:rPr>
            </w:pPr>
          </w:p>
        </w:tc>
        <w:tc>
          <w:tcPr>
            <w:tcW w:w="770" w:type="dxa"/>
            <w:shd w:val="clear" w:color="auto" w:fill="404040"/>
          </w:tcPr>
          <w:p w14:paraId="5D20B501" w14:textId="77777777" w:rsidR="005A709C" w:rsidRDefault="005A709C">
            <w:pPr>
              <w:pStyle w:val="TableParagraph"/>
              <w:spacing w:before="0"/>
              <w:rPr>
                <w:rFonts w:ascii="Times New Roman"/>
                <w:sz w:val="12"/>
              </w:rPr>
            </w:pPr>
          </w:p>
        </w:tc>
        <w:tc>
          <w:tcPr>
            <w:tcW w:w="768" w:type="dxa"/>
            <w:shd w:val="clear" w:color="auto" w:fill="404040"/>
          </w:tcPr>
          <w:p w14:paraId="4ACCCB64" w14:textId="77777777" w:rsidR="005A709C" w:rsidRDefault="005A709C">
            <w:pPr>
              <w:pStyle w:val="TableParagraph"/>
              <w:spacing w:before="0"/>
              <w:rPr>
                <w:rFonts w:ascii="Times New Roman"/>
                <w:sz w:val="12"/>
              </w:rPr>
            </w:pPr>
          </w:p>
        </w:tc>
      </w:tr>
      <w:tr w:rsidR="005A709C" w14:paraId="1FD46663" w14:textId="77777777">
        <w:trPr>
          <w:trHeight w:val="458"/>
        </w:trPr>
        <w:tc>
          <w:tcPr>
            <w:tcW w:w="3264" w:type="dxa"/>
            <w:shd w:val="clear" w:color="auto" w:fill="CCCCCC"/>
          </w:tcPr>
          <w:p w14:paraId="7A6FE3D4" w14:textId="77777777" w:rsidR="005A709C" w:rsidRDefault="00B007F1">
            <w:pPr>
              <w:pStyle w:val="TableParagraph"/>
              <w:ind w:left="59"/>
              <w:rPr>
                <w:i/>
                <w:sz w:val="16"/>
              </w:rPr>
            </w:pPr>
            <w:r>
              <w:rPr>
                <w:i/>
                <w:sz w:val="16"/>
              </w:rPr>
              <w:t xml:space="preserve">The time period for data used in reporting is </w:t>
            </w:r>
            <w:r>
              <w:rPr>
                <w:i/>
                <w:sz w:val="16"/>
              </w:rPr>
              <w:t>1/1/2024 through 12/31/2024.</w:t>
            </w:r>
          </w:p>
        </w:tc>
        <w:tc>
          <w:tcPr>
            <w:tcW w:w="770" w:type="dxa"/>
            <w:shd w:val="clear" w:color="auto" w:fill="CCCCCC"/>
          </w:tcPr>
          <w:p w14:paraId="31843D31" w14:textId="77777777" w:rsidR="005A709C" w:rsidRDefault="005A709C">
            <w:pPr>
              <w:pStyle w:val="TableParagraph"/>
              <w:spacing w:before="0"/>
              <w:rPr>
                <w:rFonts w:ascii="Times New Roman"/>
                <w:sz w:val="16"/>
              </w:rPr>
            </w:pPr>
          </w:p>
        </w:tc>
        <w:tc>
          <w:tcPr>
            <w:tcW w:w="770" w:type="dxa"/>
            <w:shd w:val="clear" w:color="auto" w:fill="CCCCCC"/>
          </w:tcPr>
          <w:p w14:paraId="392C6056" w14:textId="77777777" w:rsidR="005A709C" w:rsidRDefault="005A709C">
            <w:pPr>
              <w:pStyle w:val="TableParagraph"/>
              <w:spacing w:before="0"/>
              <w:rPr>
                <w:rFonts w:ascii="Times New Roman"/>
                <w:sz w:val="16"/>
              </w:rPr>
            </w:pPr>
          </w:p>
        </w:tc>
        <w:tc>
          <w:tcPr>
            <w:tcW w:w="770" w:type="dxa"/>
            <w:shd w:val="clear" w:color="auto" w:fill="CCCCCC"/>
          </w:tcPr>
          <w:p w14:paraId="76788D6B" w14:textId="77777777" w:rsidR="005A709C" w:rsidRDefault="005A709C">
            <w:pPr>
              <w:pStyle w:val="TableParagraph"/>
              <w:spacing w:before="0"/>
              <w:rPr>
                <w:rFonts w:ascii="Times New Roman"/>
                <w:sz w:val="16"/>
              </w:rPr>
            </w:pPr>
          </w:p>
        </w:tc>
        <w:tc>
          <w:tcPr>
            <w:tcW w:w="770" w:type="dxa"/>
            <w:shd w:val="clear" w:color="auto" w:fill="CCCCCC"/>
          </w:tcPr>
          <w:p w14:paraId="09D63B55" w14:textId="77777777" w:rsidR="005A709C" w:rsidRDefault="005A709C">
            <w:pPr>
              <w:pStyle w:val="TableParagraph"/>
              <w:spacing w:before="0"/>
              <w:rPr>
                <w:rFonts w:ascii="Times New Roman"/>
                <w:sz w:val="16"/>
              </w:rPr>
            </w:pPr>
          </w:p>
        </w:tc>
        <w:tc>
          <w:tcPr>
            <w:tcW w:w="770" w:type="dxa"/>
            <w:shd w:val="clear" w:color="auto" w:fill="CCCCCC"/>
          </w:tcPr>
          <w:p w14:paraId="7AAEF049" w14:textId="77777777" w:rsidR="005A709C" w:rsidRDefault="005A709C">
            <w:pPr>
              <w:pStyle w:val="TableParagraph"/>
              <w:spacing w:before="0"/>
              <w:rPr>
                <w:rFonts w:ascii="Times New Roman"/>
                <w:sz w:val="16"/>
              </w:rPr>
            </w:pPr>
          </w:p>
        </w:tc>
        <w:tc>
          <w:tcPr>
            <w:tcW w:w="770" w:type="dxa"/>
            <w:shd w:val="clear" w:color="auto" w:fill="CCCCCC"/>
          </w:tcPr>
          <w:p w14:paraId="24451A81" w14:textId="77777777" w:rsidR="005A709C" w:rsidRDefault="005A709C">
            <w:pPr>
              <w:pStyle w:val="TableParagraph"/>
              <w:spacing w:before="0"/>
              <w:rPr>
                <w:rFonts w:ascii="Times New Roman"/>
                <w:sz w:val="16"/>
              </w:rPr>
            </w:pPr>
          </w:p>
        </w:tc>
        <w:tc>
          <w:tcPr>
            <w:tcW w:w="770" w:type="dxa"/>
            <w:shd w:val="clear" w:color="auto" w:fill="CCCCCC"/>
          </w:tcPr>
          <w:p w14:paraId="0A16959E" w14:textId="77777777" w:rsidR="005A709C" w:rsidRDefault="005A709C">
            <w:pPr>
              <w:pStyle w:val="TableParagraph"/>
              <w:spacing w:before="0"/>
              <w:rPr>
                <w:rFonts w:ascii="Times New Roman"/>
                <w:sz w:val="16"/>
              </w:rPr>
            </w:pPr>
          </w:p>
        </w:tc>
        <w:tc>
          <w:tcPr>
            <w:tcW w:w="768" w:type="dxa"/>
            <w:shd w:val="clear" w:color="auto" w:fill="CCCCCC"/>
          </w:tcPr>
          <w:p w14:paraId="1F767E34" w14:textId="77777777" w:rsidR="005A709C" w:rsidRDefault="005A709C">
            <w:pPr>
              <w:pStyle w:val="TableParagraph"/>
              <w:spacing w:before="0"/>
              <w:rPr>
                <w:rFonts w:ascii="Times New Roman"/>
                <w:sz w:val="16"/>
              </w:rPr>
            </w:pPr>
          </w:p>
        </w:tc>
      </w:tr>
      <w:tr w:rsidR="005A709C" w14:paraId="2FEE38C4" w14:textId="77777777">
        <w:trPr>
          <w:trHeight w:val="642"/>
        </w:trPr>
        <w:tc>
          <w:tcPr>
            <w:tcW w:w="3264" w:type="dxa"/>
          </w:tcPr>
          <w:p w14:paraId="3268A11C" w14:textId="77777777" w:rsidR="005A709C" w:rsidRDefault="00B007F1">
            <w:pPr>
              <w:pStyle w:val="TableParagraph"/>
              <w:ind w:left="59"/>
              <w:rPr>
                <w:sz w:val="11"/>
              </w:rPr>
            </w:pPr>
            <w:r>
              <w:rPr>
                <w:sz w:val="16"/>
              </w:rPr>
              <w:t>Percentage of SNF residents with pressure ulcers/pressure injuries that are new or worsened</w:t>
            </w:r>
            <w:r>
              <w:rPr>
                <w:position w:val="5"/>
                <w:sz w:val="11"/>
              </w:rPr>
              <w:t>1</w:t>
            </w:r>
          </w:p>
        </w:tc>
        <w:tc>
          <w:tcPr>
            <w:tcW w:w="770" w:type="dxa"/>
            <w:shd w:val="clear" w:color="auto" w:fill="CCCCCC"/>
          </w:tcPr>
          <w:p w14:paraId="72F96B09" w14:textId="77777777" w:rsidR="005A709C" w:rsidRDefault="005A709C">
            <w:pPr>
              <w:pStyle w:val="TableParagraph"/>
              <w:spacing w:before="0"/>
              <w:rPr>
                <w:rFonts w:ascii="Times New Roman"/>
                <w:sz w:val="16"/>
              </w:rPr>
            </w:pPr>
          </w:p>
        </w:tc>
        <w:tc>
          <w:tcPr>
            <w:tcW w:w="770" w:type="dxa"/>
            <w:shd w:val="clear" w:color="auto" w:fill="CCCCCC"/>
          </w:tcPr>
          <w:p w14:paraId="658C3D7D" w14:textId="77777777" w:rsidR="005A709C" w:rsidRDefault="005A709C">
            <w:pPr>
              <w:pStyle w:val="TableParagraph"/>
              <w:spacing w:before="0"/>
              <w:rPr>
                <w:rFonts w:ascii="Times New Roman"/>
                <w:sz w:val="16"/>
              </w:rPr>
            </w:pPr>
          </w:p>
        </w:tc>
        <w:tc>
          <w:tcPr>
            <w:tcW w:w="770" w:type="dxa"/>
            <w:shd w:val="clear" w:color="auto" w:fill="CCCCCC"/>
          </w:tcPr>
          <w:p w14:paraId="501FE31D" w14:textId="77777777" w:rsidR="005A709C" w:rsidRDefault="005A709C">
            <w:pPr>
              <w:pStyle w:val="TableParagraph"/>
              <w:spacing w:before="0"/>
              <w:rPr>
                <w:rFonts w:ascii="Times New Roman"/>
                <w:sz w:val="16"/>
              </w:rPr>
            </w:pPr>
          </w:p>
        </w:tc>
        <w:tc>
          <w:tcPr>
            <w:tcW w:w="770" w:type="dxa"/>
            <w:shd w:val="clear" w:color="auto" w:fill="CCCCCC"/>
          </w:tcPr>
          <w:p w14:paraId="7258AF4A" w14:textId="77777777" w:rsidR="005A709C" w:rsidRDefault="005A709C">
            <w:pPr>
              <w:pStyle w:val="TableParagraph"/>
              <w:spacing w:before="0"/>
              <w:rPr>
                <w:rFonts w:ascii="Times New Roman"/>
                <w:sz w:val="16"/>
              </w:rPr>
            </w:pPr>
          </w:p>
        </w:tc>
        <w:tc>
          <w:tcPr>
            <w:tcW w:w="770" w:type="dxa"/>
          </w:tcPr>
          <w:p w14:paraId="4F49AF54" w14:textId="77777777" w:rsidR="005A709C" w:rsidRDefault="00B007F1">
            <w:pPr>
              <w:pStyle w:val="TableParagraph"/>
              <w:ind w:right="193"/>
              <w:jc w:val="right"/>
              <w:rPr>
                <w:sz w:val="16"/>
              </w:rPr>
            </w:pPr>
            <w:r>
              <w:rPr>
                <w:color w:val="000080"/>
                <w:sz w:val="16"/>
              </w:rPr>
              <w:t>5.4%</w:t>
            </w:r>
          </w:p>
        </w:tc>
        <w:tc>
          <w:tcPr>
            <w:tcW w:w="770" w:type="dxa"/>
          </w:tcPr>
          <w:p w14:paraId="58D816AF" w14:textId="77777777" w:rsidR="005A709C" w:rsidRDefault="00B007F1">
            <w:pPr>
              <w:pStyle w:val="TableParagraph"/>
              <w:ind w:left="294"/>
              <w:rPr>
                <w:sz w:val="16"/>
              </w:rPr>
            </w:pPr>
            <w:r>
              <w:rPr>
                <w:color w:val="000080"/>
                <w:sz w:val="16"/>
              </w:rPr>
              <w:t>40</w:t>
            </w:r>
          </w:p>
        </w:tc>
        <w:tc>
          <w:tcPr>
            <w:tcW w:w="770" w:type="dxa"/>
          </w:tcPr>
          <w:p w14:paraId="74EB2A5D" w14:textId="77777777" w:rsidR="005A709C" w:rsidRDefault="00B007F1">
            <w:pPr>
              <w:pStyle w:val="TableParagraph"/>
              <w:ind w:left="78" w:right="72"/>
              <w:jc w:val="center"/>
              <w:rPr>
                <w:sz w:val="16"/>
              </w:rPr>
            </w:pPr>
            <w:r>
              <w:rPr>
                <w:color w:val="800080"/>
                <w:sz w:val="16"/>
              </w:rPr>
              <w:t>2.5%</w:t>
            </w:r>
          </w:p>
        </w:tc>
        <w:tc>
          <w:tcPr>
            <w:tcW w:w="768" w:type="dxa"/>
          </w:tcPr>
          <w:p w14:paraId="7CC5161C" w14:textId="77777777" w:rsidR="005A709C" w:rsidRDefault="00B007F1">
            <w:pPr>
              <w:pStyle w:val="TableParagraph"/>
              <w:ind w:right="190"/>
              <w:jc w:val="right"/>
              <w:rPr>
                <w:sz w:val="16"/>
              </w:rPr>
            </w:pPr>
            <w:r>
              <w:rPr>
                <w:sz w:val="16"/>
              </w:rPr>
              <w:t>2.5%</w:t>
            </w:r>
          </w:p>
        </w:tc>
      </w:tr>
      <w:tr w:rsidR="005A709C" w14:paraId="4092FF73" w14:textId="77777777">
        <w:trPr>
          <w:trHeight w:val="273"/>
        </w:trPr>
        <w:tc>
          <w:tcPr>
            <w:tcW w:w="3264" w:type="dxa"/>
            <w:shd w:val="clear" w:color="auto" w:fill="CCCCCC"/>
          </w:tcPr>
          <w:p w14:paraId="61049623" w14:textId="77777777" w:rsidR="005A709C" w:rsidRDefault="00B007F1">
            <w:pPr>
              <w:pStyle w:val="TableParagraph"/>
              <w:ind w:left="59"/>
              <w:rPr>
                <w:i/>
                <w:sz w:val="16"/>
              </w:rPr>
            </w:pPr>
            <w:r>
              <w:rPr>
                <w:i/>
                <w:sz w:val="16"/>
              </w:rPr>
              <w:t>Higher percentages are better.</w:t>
            </w:r>
          </w:p>
        </w:tc>
        <w:tc>
          <w:tcPr>
            <w:tcW w:w="770" w:type="dxa"/>
            <w:shd w:val="clear" w:color="auto" w:fill="CCCCCC"/>
          </w:tcPr>
          <w:p w14:paraId="08009BE1" w14:textId="77777777" w:rsidR="005A709C" w:rsidRDefault="005A709C">
            <w:pPr>
              <w:pStyle w:val="TableParagraph"/>
              <w:spacing w:before="0"/>
              <w:rPr>
                <w:rFonts w:ascii="Times New Roman"/>
                <w:sz w:val="16"/>
              </w:rPr>
            </w:pPr>
          </w:p>
        </w:tc>
        <w:tc>
          <w:tcPr>
            <w:tcW w:w="770" w:type="dxa"/>
            <w:shd w:val="clear" w:color="auto" w:fill="CCCCCC"/>
          </w:tcPr>
          <w:p w14:paraId="1A68AE14" w14:textId="77777777" w:rsidR="005A709C" w:rsidRDefault="005A709C">
            <w:pPr>
              <w:pStyle w:val="TableParagraph"/>
              <w:spacing w:before="0"/>
              <w:rPr>
                <w:rFonts w:ascii="Times New Roman"/>
                <w:sz w:val="16"/>
              </w:rPr>
            </w:pPr>
          </w:p>
        </w:tc>
        <w:tc>
          <w:tcPr>
            <w:tcW w:w="770" w:type="dxa"/>
            <w:shd w:val="clear" w:color="auto" w:fill="CCCCCC"/>
          </w:tcPr>
          <w:p w14:paraId="3CEAF69B" w14:textId="77777777" w:rsidR="005A709C" w:rsidRDefault="005A709C">
            <w:pPr>
              <w:pStyle w:val="TableParagraph"/>
              <w:spacing w:before="0"/>
              <w:rPr>
                <w:rFonts w:ascii="Times New Roman"/>
                <w:sz w:val="16"/>
              </w:rPr>
            </w:pPr>
          </w:p>
        </w:tc>
        <w:tc>
          <w:tcPr>
            <w:tcW w:w="770" w:type="dxa"/>
            <w:shd w:val="clear" w:color="auto" w:fill="CCCCCC"/>
          </w:tcPr>
          <w:p w14:paraId="1D035AC6" w14:textId="77777777" w:rsidR="005A709C" w:rsidRDefault="005A709C">
            <w:pPr>
              <w:pStyle w:val="TableParagraph"/>
              <w:spacing w:before="0"/>
              <w:rPr>
                <w:rFonts w:ascii="Times New Roman"/>
                <w:sz w:val="16"/>
              </w:rPr>
            </w:pPr>
          </w:p>
        </w:tc>
        <w:tc>
          <w:tcPr>
            <w:tcW w:w="770" w:type="dxa"/>
            <w:shd w:val="clear" w:color="auto" w:fill="CCCCCC"/>
          </w:tcPr>
          <w:p w14:paraId="24BE15D4" w14:textId="77777777" w:rsidR="005A709C" w:rsidRDefault="005A709C">
            <w:pPr>
              <w:pStyle w:val="TableParagraph"/>
              <w:spacing w:before="0"/>
              <w:rPr>
                <w:rFonts w:ascii="Times New Roman"/>
                <w:sz w:val="16"/>
              </w:rPr>
            </w:pPr>
          </w:p>
        </w:tc>
        <w:tc>
          <w:tcPr>
            <w:tcW w:w="770" w:type="dxa"/>
            <w:shd w:val="clear" w:color="auto" w:fill="CCCCCC"/>
          </w:tcPr>
          <w:p w14:paraId="2B582CD3" w14:textId="77777777" w:rsidR="005A709C" w:rsidRDefault="005A709C">
            <w:pPr>
              <w:pStyle w:val="TableParagraph"/>
              <w:spacing w:before="0"/>
              <w:rPr>
                <w:rFonts w:ascii="Times New Roman"/>
                <w:sz w:val="16"/>
              </w:rPr>
            </w:pPr>
          </w:p>
        </w:tc>
        <w:tc>
          <w:tcPr>
            <w:tcW w:w="770" w:type="dxa"/>
            <w:shd w:val="clear" w:color="auto" w:fill="CCCCCC"/>
          </w:tcPr>
          <w:p w14:paraId="70BC6714" w14:textId="77777777" w:rsidR="005A709C" w:rsidRDefault="005A709C">
            <w:pPr>
              <w:pStyle w:val="TableParagraph"/>
              <w:spacing w:before="0"/>
              <w:rPr>
                <w:rFonts w:ascii="Times New Roman"/>
                <w:sz w:val="16"/>
              </w:rPr>
            </w:pPr>
          </w:p>
        </w:tc>
        <w:tc>
          <w:tcPr>
            <w:tcW w:w="768" w:type="dxa"/>
            <w:shd w:val="clear" w:color="auto" w:fill="CCCCCC"/>
          </w:tcPr>
          <w:p w14:paraId="06CB4E99" w14:textId="77777777" w:rsidR="005A709C" w:rsidRDefault="005A709C">
            <w:pPr>
              <w:pStyle w:val="TableParagraph"/>
              <w:spacing w:before="0"/>
              <w:rPr>
                <w:rFonts w:ascii="Times New Roman"/>
                <w:sz w:val="16"/>
              </w:rPr>
            </w:pPr>
          </w:p>
        </w:tc>
      </w:tr>
      <w:tr w:rsidR="005A709C" w14:paraId="6D191DE1" w14:textId="77777777">
        <w:trPr>
          <w:trHeight w:val="642"/>
        </w:trPr>
        <w:tc>
          <w:tcPr>
            <w:tcW w:w="3264" w:type="dxa"/>
          </w:tcPr>
          <w:p w14:paraId="625EBDA3" w14:textId="77777777" w:rsidR="005A709C" w:rsidRDefault="00B007F1">
            <w:pPr>
              <w:pStyle w:val="TableParagraph"/>
              <w:ind w:left="59"/>
              <w:rPr>
                <w:sz w:val="11"/>
              </w:rPr>
            </w:pPr>
            <w:r>
              <w:rPr>
                <w:sz w:val="16"/>
              </w:rPr>
              <w:t>Percentage of SNF residents who are at or above an expected ability to care for themselves and move around at discharge</w:t>
            </w:r>
            <w:r>
              <w:rPr>
                <w:position w:val="5"/>
                <w:sz w:val="11"/>
              </w:rPr>
              <w:t>1</w:t>
            </w:r>
          </w:p>
        </w:tc>
        <w:tc>
          <w:tcPr>
            <w:tcW w:w="770" w:type="dxa"/>
            <w:shd w:val="clear" w:color="auto" w:fill="CCCCCC"/>
          </w:tcPr>
          <w:p w14:paraId="679DEE67" w14:textId="77777777" w:rsidR="005A709C" w:rsidRDefault="005A709C">
            <w:pPr>
              <w:pStyle w:val="TableParagraph"/>
              <w:spacing w:before="0"/>
              <w:rPr>
                <w:rFonts w:ascii="Times New Roman"/>
                <w:sz w:val="16"/>
              </w:rPr>
            </w:pPr>
          </w:p>
        </w:tc>
        <w:tc>
          <w:tcPr>
            <w:tcW w:w="770" w:type="dxa"/>
            <w:shd w:val="clear" w:color="auto" w:fill="CCCCCC"/>
          </w:tcPr>
          <w:p w14:paraId="30CFDD9B" w14:textId="77777777" w:rsidR="005A709C" w:rsidRDefault="005A709C">
            <w:pPr>
              <w:pStyle w:val="TableParagraph"/>
              <w:spacing w:before="0"/>
              <w:rPr>
                <w:rFonts w:ascii="Times New Roman"/>
                <w:sz w:val="16"/>
              </w:rPr>
            </w:pPr>
          </w:p>
        </w:tc>
        <w:tc>
          <w:tcPr>
            <w:tcW w:w="770" w:type="dxa"/>
            <w:shd w:val="clear" w:color="auto" w:fill="CCCCCC"/>
          </w:tcPr>
          <w:p w14:paraId="31754446" w14:textId="77777777" w:rsidR="005A709C" w:rsidRDefault="005A709C">
            <w:pPr>
              <w:pStyle w:val="TableParagraph"/>
              <w:spacing w:before="0"/>
              <w:rPr>
                <w:rFonts w:ascii="Times New Roman"/>
                <w:sz w:val="16"/>
              </w:rPr>
            </w:pPr>
          </w:p>
        </w:tc>
        <w:tc>
          <w:tcPr>
            <w:tcW w:w="770" w:type="dxa"/>
            <w:shd w:val="clear" w:color="auto" w:fill="CCCCCC"/>
          </w:tcPr>
          <w:p w14:paraId="7AC8F769" w14:textId="77777777" w:rsidR="005A709C" w:rsidRDefault="005A709C">
            <w:pPr>
              <w:pStyle w:val="TableParagraph"/>
              <w:spacing w:before="0"/>
              <w:rPr>
                <w:rFonts w:ascii="Times New Roman"/>
                <w:sz w:val="16"/>
              </w:rPr>
            </w:pPr>
          </w:p>
        </w:tc>
        <w:tc>
          <w:tcPr>
            <w:tcW w:w="770" w:type="dxa"/>
          </w:tcPr>
          <w:p w14:paraId="0AC86A03" w14:textId="77777777" w:rsidR="005A709C" w:rsidRDefault="00B007F1">
            <w:pPr>
              <w:pStyle w:val="TableParagraph"/>
              <w:ind w:right="149"/>
              <w:jc w:val="right"/>
              <w:rPr>
                <w:sz w:val="16"/>
              </w:rPr>
            </w:pPr>
            <w:r>
              <w:rPr>
                <w:color w:val="000080"/>
                <w:sz w:val="16"/>
              </w:rPr>
              <w:t>30.8%</w:t>
            </w:r>
          </w:p>
        </w:tc>
        <w:tc>
          <w:tcPr>
            <w:tcW w:w="770" w:type="dxa"/>
          </w:tcPr>
          <w:p w14:paraId="4597BA19" w14:textId="77777777" w:rsidR="005A709C" w:rsidRDefault="00B007F1">
            <w:pPr>
              <w:pStyle w:val="TableParagraph"/>
              <w:ind w:left="294"/>
              <w:rPr>
                <w:sz w:val="16"/>
              </w:rPr>
            </w:pPr>
            <w:r>
              <w:rPr>
                <w:color w:val="000080"/>
                <w:sz w:val="16"/>
              </w:rPr>
              <w:t>15</w:t>
            </w:r>
          </w:p>
        </w:tc>
        <w:tc>
          <w:tcPr>
            <w:tcW w:w="770" w:type="dxa"/>
          </w:tcPr>
          <w:p w14:paraId="68CB3615" w14:textId="77777777" w:rsidR="005A709C" w:rsidRDefault="00B007F1">
            <w:pPr>
              <w:pStyle w:val="TableParagraph"/>
              <w:ind w:left="78" w:right="73"/>
              <w:jc w:val="center"/>
              <w:rPr>
                <w:sz w:val="16"/>
              </w:rPr>
            </w:pPr>
            <w:r>
              <w:rPr>
                <w:color w:val="800080"/>
                <w:sz w:val="16"/>
              </w:rPr>
              <w:t>57.7%</w:t>
            </w:r>
          </w:p>
        </w:tc>
        <w:tc>
          <w:tcPr>
            <w:tcW w:w="768" w:type="dxa"/>
          </w:tcPr>
          <w:p w14:paraId="56E6BE23" w14:textId="77777777" w:rsidR="005A709C" w:rsidRDefault="00B007F1">
            <w:pPr>
              <w:pStyle w:val="TableParagraph"/>
              <w:ind w:right="145"/>
              <w:jc w:val="right"/>
              <w:rPr>
                <w:sz w:val="16"/>
              </w:rPr>
            </w:pPr>
            <w:r>
              <w:rPr>
                <w:sz w:val="16"/>
              </w:rPr>
              <w:t>53.6%</w:t>
            </w:r>
          </w:p>
        </w:tc>
      </w:tr>
    </w:tbl>
    <w:p w14:paraId="779C206B" w14:textId="77777777" w:rsidR="005A709C" w:rsidRDefault="005A709C">
      <w:pPr>
        <w:pStyle w:val="BodyText"/>
        <w:spacing w:after="1"/>
        <w:rPr>
          <w:b/>
          <w:sz w:val="16"/>
        </w:rPr>
      </w:pPr>
    </w:p>
    <w:tbl>
      <w:tblPr>
        <w:tblW w:w="0" w:type="auto"/>
        <w:tblInd w:w="231"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3024"/>
        <w:gridCol w:w="914"/>
        <w:gridCol w:w="914"/>
        <w:gridCol w:w="914"/>
        <w:gridCol w:w="914"/>
        <w:gridCol w:w="914"/>
        <w:gridCol w:w="914"/>
        <w:gridCol w:w="914"/>
      </w:tblGrid>
      <w:tr w:rsidR="005A709C" w14:paraId="7A12CA4B" w14:textId="77777777">
        <w:trPr>
          <w:trHeight w:val="273"/>
        </w:trPr>
        <w:tc>
          <w:tcPr>
            <w:tcW w:w="3024" w:type="dxa"/>
          </w:tcPr>
          <w:p w14:paraId="3B94A76D" w14:textId="77777777" w:rsidR="005A709C" w:rsidRDefault="005A709C">
            <w:pPr>
              <w:pStyle w:val="TableParagraph"/>
              <w:spacing w:before="0"/>
              <w:rPr>
                <w:rFonts w:ascii="Times New Roman"/>
                <w:sz w:val="16"/>
              </w:rPr>
            </w:pPr>
          </w:p>
        </w:tc>
        <w:tc>
          <w:tcPr>
            <w:tcW w:w="3656" w:type="dxa"/>
            <w:gridSpan w:val="4"/>
          </w:tcPr>
          <w:p w14:paraId="50E7D27E" w14:textId="77777777" w:rsidR="005A709C" w:rsidRDefault="00B007F1">
            <w:pPr>
              <w:pStyle w:val="TableParagraph"/>
              <w:ind w:left="1207"/>
              <w:rPr>
                <w:b/>
                <w:sz w:val="16"/>
              </w:rPr>
            </w:pPr>
            <w:r>
              <w:rPr>
                <w:b/>
                <w:color w:val="000080"/>
                <w:sz w:val="16"/>
              </w:rPr>
              <w:t>Provider 335127</w:t>
            </w:r>
          </w:p>
        </w:tc>
        <w:tc>
          <w:tcPr>
            <w:tcW w:w="914" w:type="dxa"/>
          </w:tcPr>
          <w:p w14:paraId="68831A11" w14:textId="77777777" w:rsidR="005A709C" w:rsidRDefault="00B007F1">
            <w:pPr>
              <w:pStyle w:val="TableParagraph"/>
              <w:ind w:left="208" w:right="203"/>
              <w:jc w:val="center"/>
              <w:rPr>
                <w:b/>
                <w:sz w:val="16"/>
              </w:rPr>
            </w:pPr>
            <w:r>
              <w:rPr>
                <w:b/>
                <w:color w:val="800080"/>
                <w:sz w:val="16"/>
              </w:rPr>
              <w:t>NY</w:t>
            </w:r>
          </w:p>
        </w:tc>
        <w:tc>
          <w:tcPr>
            <w:tcW w:w="1828" w:type="dxa"/>
            <w:gridSpan w:val="2"/>
          </w:tcPr>
          <w:p w14:paraId="088BE668" w14:textId="77777777" w:rsidR="005A709C" w:rsidRDefault="00B007F1">
            <w:pPr>
              <w:pStyle w:val="TableParagraph"/>
              <w:ind w:left="784" w:right="776"/>
              <w:jc w:val="center"/>
              <w:rPr>
                <w:b/>
                <w:sz w:val="16"/>
              </w:rPr>
            </w:pPr>
            <w:r>
              <w:rPr>
                <w:b/>
                <w:sz w:val="16"/>
              </w:rPr>
              <w:t>US</w:t>
            </w:r>
          </w:p>
        </w:tc>
      </w:tr>
      <w:tr w:rsidR="005A709C" w14:paraId="066F15A8" w14:textId="77777777">
        <w:trPr>
          <w:trHeight w:val="655"/>
        </w:trPr>
        <w:tc>
          <w:tcPr>
            <w:tcW w:w="3024" w:type="dxa"/>
          </w:tcPr>
          <w:p w14:paraId="3DE78706" w14:textId="77777777" w:rsidR="005A709C" w:rsidRDefault="005A709C">
            <w:pPr>
              <w:pStyle w:val="TableParagraph"/>
              <w:spacing w:before="0"/>
              <w:rPr>
                <w:b/>
                <w:sz w:val="18"/>
              </w:rPr>
            </w:pPr>
          </w:p>
          <w:p w14:paraId="7633BAAE" w14:textId="77777777" w:rsidR="005A709C" w:rsidRDefault="005A709C">
            <w:pPr>
              <w:pStyle w:val="TableParagraph"/>
              <w:spacing w:before="7"/>
              <w:rPr>
                <w:b/>
                <w:sz w:val="17"/>
              </w:rPr>
            </w:pPr>
          </w:p>
          <w:p w14:paraId="398DACAF" w14:textId="77777777" w:rsidR="005A709C" w:rsidRDefault="00B007F1">
            <w:pPr>
              <w:pStyle w:val="TableParagraph"/>
              <w:spacing w:before="0"/>
              <w:ind w:left="59"/>
              <w:rPr>
                <w:b/>
                <w:sz w:val="16"/>
              </w:rPr>
            </w:pPr>
            <w:r>
              <w:rPr>
                <w:b/>
                <w:sz w:val="16"/>
              </w:rPr>
              <w:t>Claims-Based Short-Stay Measures</w:t>
            </w:r>
          </w:p>
        </w:tc>
        <w:tc>
          <w:tcPr>
            <w:tcW w:w="914" w:type="dxa"/>
          </w:tcPr>
          <w:p w14:paraId="0B2678A3" w14:textId="77777777" w:rsidR="005A709C" w:rsidRDefault="005A709C">
            <w:pPr>
              <w:pStyle w:val="TableParagraph"/>
              <w:spacing w:before="11"/>
              <w:rPr>
                <w:b/>
                <w:sz w:val="18"/>
              </w:rPr>
            </w:pPr>
          </w:p>
          <w:p w14:paraId="5DEECE7E" w14:textId="77777777" w:rsidR="005A709C" w:rsidRDefault="00B007F1">
            <w:pPr>
              <w:pStyle w:val="TableParagraph"/>
              <w:spacing w:before="0" w:line="247" w:lineRule="auto"/>
              <w:ind w:left="249" w:right="69" w:hanging="168"/>
              <w:rPr>
                <w:b/>
                <w:sz w:val="11"/>
              </w:rPr>
            </w:pPr>
            <w:r>
              <w:rPr>
                <w:b/>
                <w:color w:val="000080"/>
                <w:sz w:val="16"/>
              </w:rPr>
              <w:t>Observed Rate</w:t>
            </w:r>
            <w:r>
              <w:rPr>
                <w:b/>
                <w:color w:val="000080"/>
                <w:position w:val="5"/>
                <w:sz w:val="11"/>
              </w:rPr>
              <w:t>3</w:t>
            </w:r>
          </w:p>
        </w:tc>
        <w:tc>
          <w:tcPr>
            <w:tcW w:w="914" w:type="dxa"/>
          </w:tcPr>
          <w:p w14:paraId="2D74AA57" w14:textId="77777777" w:rsidR="005A709C" w:rsidRDefault="005A709C">
            <w:pPr>
              <w:pStyle w:val="TableParagraph"/>
              <w:spacing w:before="11"/>
              <w:rPr>
                <w:b/>
                <w:sz w:val="18"/>
              </w:rPr>
            </w:pPr>
          </w:p>
          <w:p w14:paraId="6FB79B07" w14:textId="77777777" w:rsidR="005A709C" w:rsidRDefault="00B007F1">
            <w:pPr>
              <w:pStyle w:val="TableParagraph"/>
              <w:spacing w:before="0" w:line="247" w:lineRule="auto"/>
              <w:ind w:left="249" w:right="82" w:hanging="154"/>
              <w:rPr>
                <w:b/>
                <w:sz w:val="11"/>
              </w:rPr>
            </w:pPr>
            <w:r>
              <w:rPr>
                <w:b/>
                <w:color w:val="000080"/>
                <w:sz w:val="16"/>
              </w:rPr>
              <w:t>Expected Rate</w:t>
            </w:r>
            <w:r>
              <w:rPr>
                <w:b/>
                <w:color w:val="000080"/>
                <w:position w:val="5"/>
                <w:sz w:val="11"/>
              </w:rPr>
              <w:t>3</w:t>
            </w:r>
          </w:p>
        </w:tc>
        <w:tc>
          <w:tcPr>
            <w:tcW w:w="914" w:type="dxa"/>
          </w:tcPr>
          <w:p w14:paraId="71C34A0F" w14:textId="77777777" w:rsidR="005A709C" w:rsidRDefault="00B007F1">
            <w:pPr>
              <w:pStyle w:val="TableParagraph"/>
              <w:spacing w:line="247" w:lineRule="auto"/>
              <w:ind w:left="111" w:right="103" w:hanging="4"/>
              <w:jc w:val="center"/>
              <w:rPr>
                <w:b/>
                <w:sz w:val="11"/>
              </w:rPr>
            </w:pPr>
            <w:r>
              <w:rPr>
                <w:b/>
                <w:color w:val="000080"/>
                <w:sz w:val="16"/>
              </w:rPr>
              <w:t>Risk- Adjusted Rate</w:t>
            </w:r>
            <w:r>
              <w:rPr>
                <w:b/>
                <w:color w:val="000080"/>
                <w:position w:val="5"/>
                <w:sz w:val="11"/>
              </w:rPr>
              <w:t>3</w:t>
            </w:r>
          </w:p>
        </w:tc>
        <w:tc>
          <w:tcPr>
            <w:tcW w:w="914" w:type="dxa"/>
          </w:tcPr>
          <w:p w14:paraId="6BFD1EA7" w14:textId="77777777" w:rsidR="005A709C" w:rsidRDefault="005A709C">
            <w:pPr>
              <w:pStyle w:val="TableParagraph"/>
              <w:spacing w:before="2"/>
              <w:rPr>
                <w:b/>
                <w:sz w:val="19"/>
              </w:rPr>
            </w:pPr>
          </w:p>
          <w:p w14:paraId="688DDA96" w14:textId="77777777" w:rsidR="005A709C" w:rsidRDefault="00B007F1">
            <w:pPr>
              <w:pStyle w:val="TableParagraph"/>
              <w:spacing w:before="0" w:line="247" w:lineRule="auto"/>
              <w:ind w:left="209" w:right="187" w:hanging="5"/>
              <w:rPr>
                <w:b/>
                <w:sz w:val="16"/>
              </w:rPr>
            </w:pPr>
            <w:r>
              <w:rPr>
                <w:b/>
                <w:color w:val="000080"/>
                <w:sz w:val="16"/>
              </w:rPr>
              <w:t>Rating Points</w:t>
            </w:r>
          </w:p>
        </w:tc>
        <w:tc>
          <w:tcPr>
            <w:tcW w:w="914" w:type="dxa"/>
          </w:tcPr>
          <w:p w14:paraId="25079851" w14:textId="77777777" w:rsidR="005A709C" w:rsidRDefault="00B007F1">
            <w:pPr>
              <w:pStyle w:val="TableParagraph"/>
              <w:spacing w:before="31" w:line="247" w:lineRule="auto"/>
              <w:ind w:left="111" w:right="102" w:hanging="4"/>
              <w:jc w:val="center"/>
              <w:rPr>
                <w:b/>
                <w:sz w:val="16"/>
              </w:rPr>
            </w:pPr>
            <w:r>
              <w:rPr>
                <w:b/>
                <w:color w:val="800080"/>
                <w:sz w:val="16"/>
              </w:rPr>
              <w:t>Risk- Adjusted Rate</w:t>
            </w:r>
          </w:p>
        </w:tc>
        <w:tc>
          <w:tcPr>
            <w:tcW w:w="914" w:type="dxa"/>
          </w:tcPr>
          <w:p w14:paraId="2F6B1D84" w14:textId="77777777" w:rsidR="005A709C" w:rsidRDefault="005A709C">
            <w:pPr>
              <w:pStyle w:val="TableParagraph"/>
              <w:spacing w:before="2"/>
              <w:rPr>
                <w:b/>
                <w:sz w:val="19"/>
              </w:rPr>
            </w:pPr>
          </w:p>
          <w:p w14:paraId="3B580C5F" w14:textId="77777777" w:rsidR="005A709C" w:rsidRDefault="00B007F1">
            <w:pPr>
              <w:pStyle w:val="TableParagraph"/>
              <w:spacing w:before="0" w:line="247" w:lineRule="auto"/>
              <w:ind w:left="282" w:right="68" w:hanging="200"/>
              <w:rPr>
                <w:b/>
                <w:sz w:val="16"/>
              </w:rPr>
            </w:pPr>
            <w:r>
              <w:rPr>
                <w:b/>
                <w:sz w:val="16"/>
              </w:rPr>
              <w:t>Observed Rate</w:t>
            </w:r>
          </w:p>
        </w:tc>
        <w:tc>
          <w:tcPr>
            <w:tcW w:w="914" w:type="dxa"/>
          </w:tcPr>
          <w:p w14:paraId="3BDF73ED" w14:textId="77777777" w:rsidR="005A709C" w:rsidRDefault="00B007F1">
            <w:pPr>
              <w:pStyle w:val="TableParagraph"/>
              <w:spacing w:before="31" w:line="247" w:lineRule="auto"/>
              <w:ind w:left="112" w:right="102" w:hanging="4"/>
              <w:jc w:val="center"/>
              <w:rPr>
                <w:b/>
                <w:sz w:val="16"/>
              </w:rPr>
            </w:pPr>
            <w:r>
              <w:rPr>
                <w:b/>
                <w:sz w:val="16"/>
              </w:rPr>
              <w:t>Risk- Adjusted Rate</w:t>
            </w:r>
          </w:p>
        </w:tc>
      </w:tr>
      <w:tr w:rsidR="005A709C" w14:paraId="72928CE7" w14:textId="77777777">
        <w:trPr>
          <w:trHeight w:val="643"/>
        </w:trPr>
        <w:tc>
          <w:tcPr>
            <w:tcW w:w="3024" w:type="dxa"/>
            <w:shd w:val="clear" w:color="auto" w:fill="CCCCCC"/>
          </w:tcPr>
          <w:p w14:paraId="6E9E773D" w14:textId="77777777" w:rsidR="005A709C" w:rsidRDefault="00B007F1">
            <w:pPr>
              <w:pStyle w:val="TableParagraph"/>
              <w:ind w:left="59" w:right="88"/>
              <w:rPr>
                <w:i/>
                <w:sz w:val="16"/>
              </w:rPr>
            </w:pPr>
            <w:r>
              <w:rPr>
                <w:i/>
                <w:sz w:val="16"/>
              </w:rPr>
              <w:t>Higher percentages are better. The time period for data used in reporting is 10/1/2022-9/30/2024.</w:t>
            </w:r>
          </w:p>
        </w:tc>
        <w:tc>
          <w:tcPr>
            <w:tcW w:w="914" w:type="dxa"/>
            <w:shd w:val="clear" w:color="auto" w:fill="CCCCCC"/>
          </w:tcPr>
          <w:p w14:paraId="50515B9E" w14:textId="77777777" w:rsidR="005A709C" w:rsidRDefault="005A709C">
            <w:pPr>
              <w:pStyle w:val="TableParagraph"/>
              <w:spacing w:before="0"/>
              <w:rPr>
                <w:rFonts w:ascii="Times New Roman"/>
                <w:sz w:val="16"/>
              </w:rPr>
            </w:pPr>
          </w:p>
        </w:tc>
        <w:tc>
          <w:tcPr>
            <w:tcW w:w="914" w:type="dxa"/>
            <w:shd w:val="clear" w:color="auto" w:fill="CCCCCC"/>
          </w:tcPr>
          <w:p w14:paraId="5C348AFF" w14:textId="77777777" w:rsidR="005A709C" w:rsidRDefault="005A709C">
            <w:pPr>
              <w:pStyle w:val="TableParagraph"/>
              <w:spacing w:before="0"/>
              <w:rPr>
                <w:rFonts w:ascii="Times New Roman"/>
                <w:sz w:val="16"/>
              </w:rPr>
            </w:pPr>
          </w:p>
        </w:tc>
        <w:tc>
          <w:tcPr>
            <w:tcW w:w="914" w:type="dxa"/>
            <w:shd w:val="clear" w:color="auto" w:fill="CCCCCC"/>
          </w:tcPr>
          <w:p w14:paraId="66C5473B" w14:textId="77777777" w:rsidR="005A709C" w:rsidRDefault="005A709C">
            <w:pPr>
              <w:pStyle w:val="TableParagraph"/>
              <w:spacing w:before="0"/>
              <w:rPr>
                <w:rFonts w:ascii="Times New Roman"/>
                <w:sz w:val="16"/>
              </w:rPr>
            </w:pPr>
          </w:p>
        </w:tc>
        <w:tc>
          <w:tcPr>
            <w:tcW w:w="914" w:type="dxa"/>
            <w:shd w:val="clear" w:color="auto" w:fill="CCCCCC"/>
          </w:tcPr>
          <w:p w14:paraId="394A802B" w14:textId="77777777" w:rsidR="005A709C" w:rsidRDefault="005A709C">
            <w:pPr>
              <w:pStyle w:val="TableParagraph"/>
              <w:spacing w:before="0"/>
              <w:rPr>
                <w:rFonts w:ascii="Times New Roman"/>
                <w:sz w:val="16"/>
              </w:rPr>
            </w:pPr>
          </w:p>
        </w:tc>
        <w:tc>
          <w:tcPr>
            <w:tcW w:w="914" w:type="dxa"/>
            <w:shd w:val="clear" w:color="auto" w:fill="CCCCCC"/>
          </w:tcPr>
          <w:p w14:paraId="7A23D460" w14:textId="77777777" w:rsidR="005A709C" w:rsidRDefault="005A709C">
            <w:pPr>
              <w:pStyle w:val="TableParagraph"/>
              <w:spacing w:before="0"/>
              <w:rPr>
                <w:rFonts w:ascii="Times New Roman"/>
                <w:sz w:val="16"/>
              </w:rPr>
            </w:pPr>
          </w:p>
        </w:tc>
        <w:tc>
          <w:tcPr>
            <w:tcW w:w="914" w:type="dxa"/>
            <w:shd w:val="clear" w:color="auto" w:fill="CCCCCC"/>
          </w:tcPr>
          <w:p w14:paraId="4B975026" w14:textId="77777777" w:rsidR="005A709C" w:rsidRDefault="005A709C">
            <w:pPr>
              <w:pStyle w:val="TableParagraph"/>
              <w:spacing w:before="0"/>
              <w:rPr>
                <w:rFonts w:ascii="Times New Roman"/>
                <w:sz w:val="16"/>
              </w:rPr>
            </w:pPr>
          </w:p>
        </w:tc>
        <w:tc>
          <w:tcPr>
            <w:tcW w:w="914" w:type="dxa"/>
            <w:shd w:val="clear" w:color="auto" w:fill="CCCCCC"/>
          </w:tcPr>
          <w:p w14:paraId="06EAA397" w14:textId="77777777" w:rsidR="005A709C" w:rsidRDefault="005A709C">
            <w:pPr>
              <w:pStyle w:val="TableParagraph"/>
              <w:spacing w:before="0"/>
              <w:rPr>
                <w:rFonts w:ascii="Times New Roman"/>
                <w:sz w:val="16"/>
              </w:rPr>
            </w:pPr>
          </w:p>
        </w:tc>
      </w:tr>
      <w:tr w:rsidR="005A709C" w14:paraId="42FA083E" w14:textId="77777777">
        <w:trPr>
          <w:trHeight w:val="462"/>
        </w:trPr>
        <w:tc>
          <w:tcPr>
            <w:tcW w:w="3024" w:type="dxa"/>
          </w:tcPr>
          <w:p w14:paraId="7B346AD5" w14:textId="77777777" w:rsidR="005A709C" w:rsidRDefault="00B007F1">
            <w:pPr>
              <w:pStyle w:val="TableParagraph"/>
              <w:spacing w:before="35" w:line="237" w:lineRule="auto"/>
              <w:ind w:left="59"/>
              <w:rPr>
                <w:sz w:val="11"/>
              </w:rPr>
            </w:pPr>
            <w:r>
              <w:rPr>
                <w:sz w:val="16"/>
              </w:rPr>
              <w:t>Rate of successful return to home or community from a SNF</w:t>
            </w:r>
            <w:r>
              <w:rPr>
                <w:position w:val="5"/>
                <w:sz w:val="11"/>
              </w:rPr>
              <w:t>1</w:t>
            </w:r>
          </w:p>
        </w:tc>
        <w:tc>
          <w:tcPr>
            <w:tcW w:w="914" w:type="dxa"/>
          </w:tcPr>
          <w:p w14:paraId="24F36365" w14:textId="77777777" w:rsidR="005A709C" w:rsidRDefault="00B007F1">
            <w:pPr>
              <w:pStyle w:val="TableParagraph"/>
              <w:spacing w:before="33"/>
              <w:ind w:right="222"/>
              <w:jc w:val="right"/>
              <w:rPr>
                <w:sz w:val="16"/>
              </w:rPr>
            </w:pPr>
            <w:r>
              <w:rPr>
                <w:color w:val="000080"/>
                <w:sz w:val="16"/>
              </w:rPr>
              <w:t>31.6%</w:t>
            </w:r>
          </w:p>
        </w:tc>
        <w:tc>
          <w:tcPr>
            <w:tcW w:w="914" w:type="dxa"/>
          </w:tcPr>
          <w:p w14:paraId="2838D077" w14:textId="77777777" w:rsidR="005A709C" w:rsidRDefault="00B007F1">
            <w:pPr>
              <w:pStyle w:val="TableParagraph"/>
              <w:spacing w:before="33"/>
              <w:ind w:left="207" w:right="205"/>
              <w:jc w:val="center"/>
              <w:rPr>
                <w:sz w:val="16"/>
              </w:rPr>
            </w:pPr>
            <w:r>
              <w:rPr>
                <w:color w:val="000080"/>
                <w:sz w:val="16"/>
              </w:rPr>
              <w:t>NR</w:t>
            </w:r>
          </w:p>
        </w:tc>
        <w:tc>
          <w:tcPr>
            <w:tcW w:w="914" w:type="dxa"/>
          </w:tcPr>
          <w:p w14:paraId="26A2369B" w14:textId="77777777" w:rsidR="005A709C" w:rsidRDefault="00B007F1">
            <w:pPr>
              <w:pStyle w:val="TableParagraph"/>
              <w:spacing w:before="33"/>
              <w:ind w:left="207" w:right="205"/>
              <w:jc w:val="center"/>
              <w:rPr>
                <w:sz w:val="16"/>
              </w:rPr>
            </w:pPr>
            <w:r>
              <w:rPr>
                <w:color w:val="000080"/>
                <w:sz w:val="16"/>
              </w:rPr>
              <w:t>43.6%</w:t>
            </w:r>
          </w:p>
        </w:tc>
        <w:tc>
          <w:tcPr>
            <w:tcW w:w="914" w:type="dxa"/>
          </w:tcPr>
          <w:p w14:paraId="381595D3" w14:textId="77777777" w:rsidR="005A709C" w:rsidRDefault="00B007F1">
            <w:pPr>
              <w:pStyle w:val="TableParagraph"/>
              <w:spacing w:before="33"/>
              <w:ind w:right="361"/>
              <w:jc w:val="right"/>
              <w:rPr>
                <w:sz w:val="16"/>
              </w:rPr>
            </w:pPr>
            <w:r>
              <w:rPr>
                <w:color w:val="000080"/>
                <w:sz w:val="16"/>
              </w:rPr>
              <w:t>45</w:t>
            </w:r>
          </w:p>
        </w:tc>
        <w:tc>
          <w:tcPr>
            <w:tcW w:w="914" w:type="dxa"/>
          </w:tcPr>
          <w:p w14:paraId="2F219E5D" w14:textId="77777777" w:rsidR="005A709C" w:rsidRDefault="00B007F1">
            <w:pPr>
              <w:pStyle w:val="TableParagraph"/>
              <w:spacing w:before="33"/>
              <w:ind w:left="208" w:right="205"/>
              <w:jc w:val="center"/>
              <w:rPr>
                <w:sz w:val="16"/>
              </w:rPr>
            </w:pPr>
            <w:r>
              <w:rPr>
                <w:color w:val="800080"/>
                <w:sz w:val="16"/>
              </w:rPr>
              <w:t>46.7%</w:t>
            </w:r>
          </w:p>
        </w:tc>
        <w:tc>
          <w:tcPr>
            <w:tcW w:w="914" w:type="dxa"/>
          </w:tcPr>
          <w:p w14:paraId="37C5200A" w14:textId="77777777" w:rsidR="005A709C" w:rsidRDefault="00B007F1">
            <w:pPr>
              <w:pStyle w:val="TableParagraph"/>
              <w:spacing w:before="33"/>
              <w:ind w:left="208" w:right="204"/>
              <w:jc w:val="center"/>
              <w:rPr>
                <w:sz w:val="16"/>
              </w:rPr>
            </w:pPr>
            <w:r>
              <w:rPr>
                <w:sz w:val="16"/>
              </w:rPr>
              <w:t>50.6%</w:t>
            </w:r>
          </w:p>
        </w:tc>
        <w:tc>
          <w:tcPr>
            <w:tcW w:w="914" w:type="dxa"/>
          </w:tcPr>
          <w:p w14:paraId="206AF9B3" w14:textId="77777777" w:rsidR="005A709C" w:rsidRDefault="00B007F1">
            <w:pPr>
              <w:pStyle w:val="TableParagraph"/>
              <w:spacing w:before="30"/>
              <w:ind w:left="199"/>
              <w:rPr>
                <w:sz w:val="11"/>
              </w:rPr>
            </w:pPr>
            <w:r>
              <w:rPr>
                <w:sz w:val="16"/>
              </w:rPr>
              <w:t>50.6%</w:t>
            </w:r>
            <w:r>
              <w:rPr>
                <w:position w:val="5"/>
                <w:sz w:val="11"/>
              </w:rPr>
              <w:t>4</w:t>
            </w:r>
          </w:p>
        </w:tc>
      </w:tr>
      <w:tr w:rsidR="005A709C" w14:paraId="4E645ADA" w14:textId="77777777">
        <w:trPr>
          <w:trHeight w:val="643"/>
        </w:trPr>
        <w:tc>
          <w:tcPr>
            <w:tcW w:w="3024" w:type="dxa"/>
            <w:shd w:val="clear" w:color="auto" w:fill="CCCCCC"/>
          </w:tcPr>
          <w:p w14:paraId="0D1AFF8E" w14:textId="77777777" w:rsidR="005A709C" w:rsidRDefault="00B007F1">
            <w:pPr>
              <w:pStyle w:val="TableParagraph"/>
              <w:ind w:left="59"/>
              <w:rPr>
                <w:i/>
                <w:sz w:val="16"/>
              </w:rPr>
            </w:pPr>
            <w:r>
              <w:rPr>
                <w:i/>
                <w:sz w:val="16"/>
              </w:rPr>
              <w:t xml:space="preserve">Lower percentages are better. The time </w:t>
            </w:r>
            <w:r>
              <w:rPr>
                <w:i/>
                <w:sz w:val="16"/>
              </w:rPr>
              <w:t>period for data used in reporting is 4/1/2024 through 3/31/2025.</w:t>
            </w:r>
          </w:p>
        </w:tc>
        <w:tc>
          <w:tcPr>
            <w:tcW w:w="914" w:type="dxa"/>
            <w:shd w:val="clear" w:color="auto" w:fill="CCCCCC"/>
          </w:tcPr>
          <w:p w14:paraId="5FCA9392" w14:textId="77777777" w:rsidR="005A709C" w:rsidRDefault="005A709C">
            <w:pPr>
              <w:pStyle w:val="TableParagraph"/>
              <w:spacing w:before="0"/>
              <w:rPr>
                <w:rFonts w:ascii="Times New Roman"/>
                <w:sz w:val="16"/>
              </w:rPr>
            </w:pPr>
          </w:p>
        </w:tc>
        <w:tc>
          <w:tcPr>
            <w:tcW w:w="914" w:type="dxa"/>
            <w:shd w:val="clear" w:color="auto" w:fill="CCCCCC"/>
          </w:tcPr>
          <w:p w14:paraId="798C2F96" w14:textId="77777777" w:rsidR="005A709C" w:rsidRDefault="005A709C">
            <w:pPr>
              <w:pStyle w:val="TableParagraph"/>
              <w:spacing w:before="0"/>
              <w:rPr>
                <w:rFonts w:ascii="Times New Roman"/>
                <w:sz w:val="16"/>
              </w:rPr>
            </w:pPr>
          </w:p>
        </w:tc>
        <w:tc>
          <w:tcPr>
            <w:tcW w:w="914" w:type="dxa"/>
            <w:shd w:val="clear" w:color="auto" w:fill="CCCCCC"/>
          </w:tcPr>
          <w:p w14:paraId="120A8EBF" w14:textId="77777777" w:rsidR="005A709C" w:rsidRDefault="005A709C">
            <w:pPr>
              <w:pStyle w:val="TableParagraph"/>
              <w:spacing w:before="0"/>
              <w:rPr>
                <w:rFonts w:ascii="Times New Roman"/>
                <w:sz w:val="16"/>
              </w:rPr>
            </w:pPr>
          </w:p>
        </w:tc>
        <w:tc>
          <w:tcPr>
            <w:tcW w:w="914" w:type="dxa"/>
            <w:shd w:val="clear" w:color="auto" w:fill="CCCCCC"/>
          </w:tcPr>
          <w:p w14:paraId="3A12F59A" w14:textId="77777777" w:rsidR="005A709C" w:rsidRDefault="005A709C">
            <w:pPr>
              <w:pStyle w:val="TableParagraph"/>
              <w:spacing w:before="0"/>
              <w:rPr>
                <w:rFonts w:ascii="Times New Roman"/>
                <w:sz w:val="16"/>
              </w:rPr>
            </w:pPr>
          </w:p>
        </w:tc>
        <w:tc>
          <w:tcPr>
            <w:tcW w:w="914" w:type="dxa"/>
            <w:shd w:val="clear" w:color="auto" w:fill="CCCCCC"/>
          </w:tcPr>
          <w:p w14:paraId="0464E1FA" w14:textId="77777777" w:rsidR="005A709C" w:rsidRDefault="005A709C">
            <w:pPr>
              <w:pStyle w:val="TableParagraph"/>
              <w:spacing w:before="0"/>
              <w:rPr>
                <w:rFonts w:ascii="Times New Roman"/>
                <w:sz w:val="16"/>
              </w:rPr>
            </w:pPr>
          </w:p>
        </w:tc>
        <w:tc>
          <w:tcPr>
            <w:tcW w:w="914" w:type="dxa"/>
            <w:shd w:val="clear" w:color="auto" w:fill="CCCCCC"/>
          </w:tcPr>
          <w:p w14:paraId="2D3DDCCF" w14:textId="77777777" w:rsidR="005A709C" w:rsidRDefault="005A709C">
            <w:pPr>
              <w:pStyle w:val="TableParagraph"/>
              <w:spacing w:before="0"/>
              <w:rPr>
                <w:rFonts w:ascii="Times New Roman"/>
                <w:sz w:val="16"/>
              </w:rPr>
            </w:pPr>
          </w:p>
        </w:tc>
        <w:tc>
          <w:tcPr>
            <w:tcW w:w="914" w:type="dxa"/>
            <w:shd w:val="clear" w:color="auto" w:fill="CCCCCC"/>
          </w:tcPr>
          <w:p w14:paraId="394CB263" w14:textId="77777777" w:rsidR="005A709C" w:rsidRDefault="005A709C">
            <w:pPr>
              <w:pStyle w:val="TableParagraph"/>
              <w:spacing w:before="0"/>
              <w:rPr>
                <w:rFonts w:ascii="Times New Roman"/>
                <w:sz w:val="16"/>
              </w:rPr>
            </w:pPr>
          </w:p>
        </w:tc>
      </w:tr>
      <w:tr w:rsidR="005A709C" w14:paraId="0FE74CF2" w14:textId="77777777">
        <w:trPr>
          <w:trHeight w:val="642"/>
        </w:trPr>
        <w:tc>
          <w:tcPr>
            <w:tcW w:w="3024" w:type="dxa"/>
          </w:tcPr>
          <w:p w14:paraId="7AFE43B2" w14:textId="77777777" w:rsidR="005A709C" w:rsidRDefault="00B007F1">
            <w:pPr>
              <w:pStyle w:val="TableParagraph"/>
              <w:ind w:left="59" w:right="375"/>
              <w:rPr>
                <w:sz w:val="11"/>
              </w:rPr>
            </w:pPr>
            <w:r>
              <w:rPr>
                <w:sz w:val="16"/>
              </w:rPr>
              <w:t>Percentage of residents who were re-hospitalized after a nursing home admission</w:t>
            </w:r>
            <w:r>
              <w:rPr>
                <w:position w:val="5"/>
                <w:sz w:val="11"/>
              </w:rPr>
              <w:t>1</w:t>
            </w:r>
          </w:p>
        </w:tc>
        <w:tc>
          <w:tcPr>
            <w:tcW w:w="914" w:type="dxa"/>
          </w:tcPr>
          <w:p w14:paraId="0777F017" w14:textId="77777777" w:rsidR="005A709C" w:rsidRDefault="00B007F1">
            <w:pPr>
              <w:pStyle w:val="TableParagraph"/>
              <w:ind w:right="267"/>
              <w:jc w:val="right"/>
              <w:rPr>
                <w:sz w:val="16"/>
              </w:rPr>
            </w:pPr>
            <w:r>
              <w:rPr>
                <w:color w:val="000080"/>
                <w:sz w:val="16"/>
              </w:rPr>
              <w:t>8.3%</w:t>
            </w:r>
          </w:p>
        </w:tc>
        <w:tc>
          <w:tcPr>
            <w:tcW w:w="914" w:type="dxa"/>
          </w:tcPr>
          <w:p w14:paraId="1F424F8A" w14:textId="77777777" w:rsidR="005A709C" w:rsidRDefault="00B007F1">
            <w:pPr>
              <w:pStyle w:val="TableParagraph"/>
              <w:ind w:left="206" w:right="205"/>
              <w:jc w:val="center"/>
              <w:rPr>
                <w:sz w:val="16"/>
              </w:rPr>
            </w:pPr>
            <w:r>
              <w:rPr>
                <w:color w:val="000080"/>
                <w:sz w:val="16"/>
              </w:rPr>
              <w:t>21.3%</w:t>
            </w:r>
          </w:p>
        </w:tc>
        <w:tc>
          <w:tcPr>
            <w:tcW w:w="914" w:type="dxa"/>
          </w:tcPr>
          <w:p w14:paraId="4DF228EA" w14:textId="77777777" w:rsidR="005A709C" w:rsidRDefault="00B007F1">
            <w:pPr>
              <w:pStyle w:val="TableParagraph"/>
              <w:ind w:left="208" w:right="205"/>
              <w:jc w:val="center"/>
              <w:rPr>
                <w:sz w:val="16"/>
              </w:rPr>
            </w:pPr>
            <w:r>
              <w:rPr>
                <w:color w:val="000080"/>
                <w:sz w:val="16"/>
              </w:rPr>
              <w:t>9.3%</w:t>
            </w:r>
          </w:p>
        </w:tc>
        <w:tc>
          <w:tcPr>
            <w:tcW w:w="914" w:type="dxa"/>
          </w:tcPr>
          <w:p w14:paraId="5E18734B" w14:textId="77777777" w:rsidR="005A709C" w:rsidRDefault="00B007F1">
            <w:pPr>
              <w:pStyle w:val="TableParagraph"/>
              <w:ind w:right="314"/>
              <w:jc w:val="right"/>
              <w:rPr>
                <w:sz w:val="16"/>
              </w:rPr>
            </w:pPr>
            <w:r>
              <w:rPr>
                <w:color w:val="000080"/>
                <w:sz w:val="16"/>
              </w:rPr>
              <w:t>150</w:t>
            </w:r>
          </w:p>
        </w:tc>
        <w:tc>
          <w:tcPr>
            <w:tcW w:w="914" w:type="dxa"/>
          </w:tcPr>
          <w:p w14:paraId="6B0BFFBA" w14:textId="77777777" w:rsidR="005A709C" w:rsidRDefault="00B007F1">
            <w:pPr>
              <w:pStyle w:val="TableParagraph"/>
              <w:ind w:left="208" w:right="205"/>
              <w:jc w:val="center"/>
              <w:rPr>
                <w:sz w:val="16"/>
              </w:rPr>
            </w:pPr>
            <w:r>
              <w:rPr>
                <w:color w:val="800080"/>
                <w:sz w:val="16"/>
              </w:rPr>
              <w:t>20.5%</w:t>
            </w:r>
          </w:p>
        </w:tc>
        <w:tc>
          <w:tcPr>
            <w:tcW w:w="914" w:type="dxa"/>
          </w:tcPr>
          <w:p w14:paraId="465E6999" w14:textId="77777777" w:rsidR="005A709C" w:rsidRDefault="00B007F1">
            <w:pPr>
              <w:pStyle w:val="TableParagraph"/>
              <w:ind w:left="208" w:right="204"/>
              <w:jc w:val="center"/>
              <w:rPr>
                <w:sz w:val="16"/>
              </w:rPr>
            </w:pPr>
            <w:r>
              <w:rPr>
                <w:sz w:val="16"/>
              </w:rPr>
              <w:t>23.8%</w:t>
            </w:r>
          </w:p>
        </w:tc>
        <w:tc>
          <w:tcPr>
            <w:tcW w:w="914" w:type="dxa"/>
          </w:tcPr>
          <w:p w14:paraId="2F05E322" w14:textId="77777777" w:rsidR="005A709C" w:rsidRDefault="00B007F1">
            <w:pPr>
              <w:pStyle w:val="TableParagraph"/>
              <w:ind w:left="227"/>
              <w:rPr>
                <w:sz w:val="16"/>
              </w:rPr>
            </w:pPr>
            <w:r>
              <w:rPr>
                <w:sz w:val="16"/>
              </w:rPr>
              <w:t>23.6%</w:t>
            </w:r>
          </w:p>
        </w:tc>
      </w:tr>
      <w:tr w:rsidR="005A709C" w14:paraId="5CBCAA85" w14:textId="77777777">
        <w:trPr>
          <w:trHeight w:val="458"/>
        </w:trPr>
        <w:tc>
          <w:tcPr>
            <w:tcW w:w="3024" w:type="dxa"/>
          </w:tcPr>
          <w:p w14:paraId="377F9F3B" w14:textId="77777777" w:rsidR="005A709C" w:rsidRDefault="00B007F1">
            <w:pPr>
              <w:pStyle w:val="TableParagraph"/>
              <w:spacing w:before="30" w:line="237" w:lineRule="auto"/>
              <w:ind w:left="59"/>
              <w:rPr>
                <w:sz w:val="11"/>
              </w:rPr>
            </w:pPr>
            <w:r>
              <w:rPr>
                <w:sz w:val="16"/>
              </w:rPr>
              <w:t>Percentage of residents who had an outpatient emergency department visit</w:t>
            </w:r>
            <w:r>
              <w:rPr>
                <w:position w:val="5"/>
                <w:sz w:val="11"/>
              </w:rPr>
              <w:t>1</w:t>
            </w:r>
          </w:p>
        </w:tc>
        <w:tc>
          <w:tcPr>
            <w:tcW w:w="914" w:type="dxa"/>
          </w:tcPr>
          <w:p w14:paraId="360C6091" w14:textId="77777777" w:rsidR="005A709C" w:rsidRDefault="00B007F1">
            <w:pPr>
              <w:pStyle w:val="TableParagraph"/>
              <w:ind w:right="267"/>
              <w:jc w:val="right"/>
              <w:rPr>
                <w:sz w:val="16"/>
              </w:rPr>
            </w:pPr>
            <w:r>
              <w:rPr>
                <w:color w:val="000080"/>
                <w:sz w:val="16"/>
              </w:rPr>
              <w:t>8.3%</w:t>
            </w:r>
          </w:p>
        </w:tc>
        <w:tc>
          <w:tcPr>
            <w:tcW w:w="914" w:type="dxa"/>
          </w:tcPr>
          <w:p w14:paraId="13E1751E" w14:textId="77777777" w:rsidR="005A709C" w:rsidRDefault="00B007F1">
            <w:pPr>
              <w:pStyle w:val="TableParagraph"/>
              <w:ind w:left="206" w:right="205"/>
              <w:jc w:val="center"/>
              <w:rPr>
                <w:sz w:val="16"/>
              </w:rPr>
            </w:pPr>
            <w:r>
              <w:rPr>
                <w:color w:val="000080"/>
                <w:sz w:val="16"/>
              </w:rPr>
              <w:t>10.0%</w:t>
            </w:r>
          </w:p>
        </w:tc>
        <w:tc>
          <w:tcPr>
            <w:tcW w:w="914" w:type="dxa"/>
          </w:tcPr>
          <w:p w14:paraId="4B56BC97" w14:textId="77777777" w:rsidR="005A709C" w:rsidRDefault="00B007F1">
            <w:pPr>
              <w:pStyle w:val="TableParagraph"/>
              <w:ind w:left="208" w:right="205"/>
              <w:jc w:val="center"/>
              <w:rPr>
                <w:sz w:val="16"/>
              </w:rPr>
            </w:pPr>
            <w:r>
              <w:rPr>
                <w:color w:val="000080"/>
                <w:sz w:val="16"/>
              </w:rPr>
              <w:t>9.3%</w:t>
            </w:r>
          </w:p>
        </w:tc>
        <w:tc>
          <w:tcPr>
            <w:tcW w:w="914" w:type="dxa"/>
          </w:tcPr>
          <w:p w14:paraId="598DCBA3" w14:textId="77777777" w:rsidR="005A709C" w:rsidRDefault="00B007F1">
            <w:pPr>
              <w:pStyle w:val="TableParagraph"/>
              <w:ind w:right="361"/>
              <w:jc w:val="right"/>
              <w:rPr>
                <w:sz w:val="16"/>
              </w:rPr>
            </w:pPr>
            <w:r>
              <w:rPr>
                <w:color w:val="000080"/>
                <w:sz w:val="16"/>
              </w:rPr>
              <w:t>75</w:t>
            </w:r>
          </w:p>
        </w:tc>
        <w:tc>
          <w:tcPr>
            <w:tcW w:w="914" w:type="dxa"/>
          </w:tcPr>
          <w:p w14:paraId="2FCA23CD" w14:textId="77777777" w:rsidR="005A709C" w:rsidRDefault="00B007F1">
            <w:pPr>
              <w:pStyle w:val="TableParagraph"/>
              <w:ind w:left="208" w:right="203"/>
              <w:jc w:val="center"/>
              <w:rPr>
                <w:sz w:val="16"/>
              </w:rPr>
            </w:pPr>
            <w:r>
              <w:rPr>
                <w:color w:val="800080"/>
                <w:sz w:val="16"/>
              </w:rPr>
              <w:t>9.7%</w:t>
            </w:r>
          </w:p>
        </w:tc>
        <w:tc>
          <w:tcPr>
            <w:tcW w:w="914" w:type="dxa"/>
          </w:tcPr>
          <w:p w14:paraId="78CC456A" w14:textId="77777777" w:rsidR="005A709C" w:rsidRDefault="00B007F1">
            <w:pPr>
              <w:pStyle w:val="TableParagraph"/>
              <w:ind w:left="208" w:right="204"/>
              <w:jc w:val="center"/>
              <w:rPr>
                <w:sz w:val="16"/>
              </w:rPr>
            </w:pPr>
            <w:r>
              <w:rPr>
                <w:sz w:val="16"/>
              </w:rPr>
              <w:t>11.2%</w:t>
            </w:r>
          </w:p>
        </w:tc>
        <w:tc>
          <w:tcPr>
            <w:tcW w:w="914" w:type="dxa"/>
          </w:tcPr>
          <w:p w14:paraId="4F8FDA75" w14:textId="77777777" w:rsidR="005A709C" w:rsidRDefault="00B007F1">
            <w:pPr>
              <w:pStyle w:val="TableParagraph"/>
              <w:ind w:left="227"/>
              <w:rPr>
                <w:sz w:val="16"/>
              </w:rPr>
            </w:pPr>
            <w:r>
              <w:rPr>
                <w:sz w:val="16"/>
              </w:rPr>
              <w:t>12.0%</w:t>
            </w:r>
          </w:p>
        </w:tc>
      </w:tr>
    </w:tbl>
    <w:p w14:paraId="4CE69F5C" w14:textId="77777777" w:rsidR="005A709C" w:rsidRDefault="005A709C">
      <w:pPr>
        <w:pStyle w:val="BodyText"/>
        <w:spacing w:before="9"/>
        <w:rPr>
          <w:b/>
          <w:sz w:val="18"/>
        </w:rPr>
      </w:pPr>
    </w:p>
    <w:p w14:paraId="467C6D9B" w14:textId="77777777" w:rsidR="005A709C" w:rsidRDefault="00B007F1">
      <w:pPr>
        <w:spacing w:line="186" w:lineRule="exact"/>
        <w:ind w:left="197"/>
        <w:rPr>
          <w:i/>
          <w:sz w:val="16"/>
        </w:rPr>
      </w:pPr>
      <w:r>
        <w:rPr>
          <w:i/>
          <w:position w:val="5"/>
          <w:sz w:val="11"/>
        </w:rPr>
        <w:t>1</w:t>
      </w:r>
      <w:r>
        <w:rPr>
          <w:i/>
          <w:sz w:val="16"/>
        </w:rPr>
        <w:t>These measures are risk adjusted.</w:t>
      </w:r>
    </w:p>
    <w:p w14:paraId="2E859D57" w14:textId="77777777" w:rsidR="005A709C" w:rsidRDefault="00B007F1">
      <w:pPr>
        <w:ind w:left="197" w:right="658"/>
        <w:rPr>
          <w:i/>
          <w:sz w:val="16"/>
        </w:rPr>
      </w:pPr>
      <w:r>
        <w:rPr>
          <w:i/>
          <w:position w:val="5"/>
          <w:sz w:val="11"/>
        </w:rPr>
        <w:t>2</w:t>
      </w:r>
      <w:r>
        <w:rPr>
          <w:i/>
          <w:sz w:val="16"/>
        </w:rPr>
        <w:t>This measure includes some imputed data because there are fewer than 20 resident assessments or stays across the four quarters. This value is used in calculating the QM points and used in the QM rating calculation but will not be displayed on Care Compare.</w:t>
      </w:r>
    </w:p>
    <w:p w14:paraId="56F1D7C3" w14:textId="77777777" w:rsidR="005A709C" w:rsidRDefault="00B007F1">
      <w:pPr>
        <w:ind w:left="197" w:right="522"/>
        <w:rPr>
          <w:i/>
          <w:sz w:val="16"/>
        </w:rPr>
      </w:pPr>
      <w:r>
        <w:rPr>
          <w:i/>
          <w:position w:val="5"/>
          <w:sz w:val="11"/>
        </w:rPr>
        <w:t>3</w:t>
      </w:r>
      <w:r>
        <w:rPr>
          <w:i/>
          <w:sz w:val="16"/>
        </w:rPr>
        <w:t xml:space="preserve">The observed rate is the actual rate observed for the facility without any risk-adjustment; the expected rate is the rate that would be expected for the facility given the risk-adjustment profile of the facility. For successful community discharge, the risk-adjusted rate is calculated as (predicted rate / expected rate) * US Observed rate and is referred to as the risk-standardized rate. For rehospitalization and emergency department visits, the risk-adjusted rate is calculated as (observed rate / expected </w:t>
      </w:r>
      <w:r>
        <w:rPr>
          <w:i/>
          <w:sz w:val="16"/>
        </w:rPr>
        <w:t>rate) * US observed rate. Only the risk-adjusted or risk-standardized rate will appear on Care</w:t>
      </w:r>
      <w:r>
        <w:rPr>
          <w:i/>
          <w:spacing w:val="10"/>
          <w:sz w:val="16"/>
        </w:rPr>
        <w:t xml:space="preserve"> </w:t>
      </w:r>
      <w:r>
        <w:rPr>
          <w:i/>
          <w:sz w:val="16"/>
        </w:rPr>
        <w:t>Compare.</w:t>
      </w:r>
    </w:p>
    <w:p w14:paraId="16EF46C8" w14:textId="77777777" w:rsidR="005A709C" w:rsidRDefault="00B007F1">
      <w:pPr>
        <w:ind w:left="197" w:right="1655"/>
        <w:rPr>
          <w:i/>
          <w:sz w:val="16"/>
        </w:rPr>
      </w:pPr>
      <w:r>
        <w:rPr>
          <w:i/>
          <w:position w:val="5"/>
          <w:sz w:val="11"/>
        </w:rPr>
        <w:t>4</w:t>
      </w:r>
      <w:r>
        <w:rPr>
          <w:i/>
          <w:sz w:val="16"/>
        </w:rPr>
        <w:t>For this measure, this value is the National Benchmark, rather than the national average of the risk-adjusted rate. NR = Not Reported. The expected rate is not reported for this measure.</w:t>
      </w:r>
    </w:p>
    <w:p w14:paraId="747B328E" w14:textId="77777777" w:rsidR="005A709C" w:rsidRDefault="005A709C">
      <w:pPr>
        <w:rPr>
          <w:sz w:val="16"/>
        </w:rPr>
        <w:sectPr w:rsidR="005A709C">
          <w:pgSz w:w="12240" w:h="15840"/>
          <w:pgMar w:top="1020" w:right="1120" w:bottom="280" w:left="1000" w:header="805" w:footer="0" w:gutter="0"/>
          <w:cols w:space="720"/>
        </w:sectPr>
      </w:pPr>
    </w:p>
    <w:p w14:paraId="354F71DD" w14:textId="77777777" w:rsidR="005A709C" w:rsidRDefault="005A709C">
      <w:pPr>
        <w:pStyle w:val="BodyText"/>
        <w:spacing w:before="7"/>
        <w:rPr>
          <w:i/>
          <w:sz w:val="14"/>
        </w:rPr>
      </w:pPr>
    </w:p>
    <w:p w14:paraId="43D003ED" w14:textId="77777777" w:rsidR="005A709C" w:rsidRDefault="00B007F1">
      <w:pPr>
        <w:pStyle w:val="Heading3"/>
        <w:spacing w:before="94"/>
        <w:ind w:left="1909" w:right="2145"/>
        <w:jc w:val="center"/>
      </w:pPr>
      <w:r>
        <w:t>Short-Stay and Overall Quality Measure Scores and Ratings</w:t>
      </w:r>
    </w:p>
    <w:p w14:paraId="1E33705E" w14:textId="77777777" w:rsidR="005A709C" w:rsidRDefault="005A709C">
      <w:pPr>
        <w:pStyle w:val="BodyText"/>
        <w:spacing w:before="4"/>
        <w:rPr>
          <w:b/>
          <w:sz w:val="21"/>
        </w:rPr>
      </w:pPr>
    </w:p>
    <w:tbl>
      <w:tblPr>
        <w:tblW w:w="0" w:type="auto"/>
        <w:tblInd w:w="252"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7459"/>
        <w:gridCol w:w="1920"/>
      </w:tblGrid>
      <w:tr w:rsidR="005A709C" w14:paraId="792AE7EA" w14:textId="77777777">
        <w:trPr>
          <w:trHeight w:val="381"/>
        </w:trPr>
        <w:tc>
          <w:tcPr>
            <w:tcW w:w="7459" w:type="dxa"/>
          </w:tcPr>
          <w:p w14:paraId="366A94C0" w14:textId="77777777" w:rsidR="005A709C" w:rsidRDefault="00B007F1">
            <w:pPr>
              <w:pStyle w:val="TableParagraph"/>
              <w:spacing w:before="81"/>
              <w:ind w:left="59"/>
              <w:rPr>
                <w:sz w:val="16"/>
              </w:rPr>
            </w:pPr>
            <w:r>
              <w:rPr>
                <w:sz w:val="16"/>
              </w:rPr>
              <w:t>Unadjusted Short-Stay Quality Measure Score</w:t>
            </w:r>
          </w:p>
        </w:tc>
        <w:tc>
          <w:tcPr>
            <w:tcW w:w="1920" w:type="dxa"/>
          </w:tcPr>
          <w:p w14:paraId="31D951FB" w14:textId="77777777" w:rsidR="005A709C" w:rsidRDefault="00B007F1">
            <w:pPr>
              <w:pStyle w:val="TableParagraph"/>
              <w:spacing w:before="81"/>
              <w:ind w:left="601" w:right="600"/>
              <w:jc w:val="center"/>
              <w:rPr>
                <w:sz w:val="16"/>
              </w:rPr>
            </w:pPr>
            <w:r>
              <w:rPr>
                <w:color w:val="000080"/>
                <w:sz w:val="16"/>
              </w:rPr>
              <w:t>425</w:t>
            </w:r>
          </w:p>
        </w:tc>
      </w:tr>
      <w:tr w:rsidR="005A709C" w14:paraId="1AA06A14" w14:textId="77777777">
        <w:trPr>
          <w:trHeight w:val="381"/>
        </w:trPr>
        <w:tc>
          <w:tcPr>
            <w:tcW w:w="7459" w:type="dxa"/>
          </w:tcPr>
          <w:p w14:paraId="7E100520" w14:textId="77777777" w:rsidR="005A709C" w:rsidRDefault="00B007F1">
            <w:pPr>
              <w:pStyle w:val="TableParagraph"/>
              <w:spacing w:before="80"/>
              <w:ind w:left="59"/>
              <w:rPr>
                <w:sz w:val="11"/>
              </w:rPr>
            </w:pPr>
            <w:r>
              <w:rPr>
                <w:sz w:val="16"/>
              </w:rPr>
              <w:t>Total Short-Stay Quality Measure Score (unadjusted short-stay QM score*1150/800)</w:t>
            </w:r>
            <w:r>
              <w:rPr>
                <w:position w:val="5"/>
                <w:sz w:val="11"/>
              </w:rPr>
              <w:t>1</w:t>
            </w:r>
          </w:p>
        </w:tc>
        <w:tc>
          <w:tcPr>
            <w:tcW w:w="1920" w:type="dxa"/>
          </w:tcPr>
          <w:p w14:paraId="47A1860D" w14:textId="77777777" w:rsidR="005A709C" w:rsidRDefault="00B007F1">
            <w:pPr>
              <w:pStyle w:val="TableParagraph"/>
              <w:spacing w:before="81"/>
              <w:ind w:left="601" w:right="600"/>
              <w:jc w:val="center"/>
              <w:rPr>
                <w:sz w:val="16"/>
              </w:rPr>
            </w:pPr>
            <w:r>
              <w:rPr>
                <w:color w:val="000080"/>
                <w:sz w:val="16"/>
              </w:rPr>
              <w:t>611</w:t>
            </w:r>
          </w:p>
        </w:tc>
      </w:tr>
      <w:tr w:rsidR="005A709C" w14:paraId="2A2B33CE" w14:textId="77777777">
        <w:trPr>
          <w:trHeight w:val="381"/>
        </w:trPr>
        <w:tc>
          <w:tcPr>
            <w:tcW w:w="7459" w:type="dxa"/>
          </w:tcPr>
          <w:p w14:paraId="17125470" w14:textId="77777777" w:rsidR="005A709C" w:rsidRDefault="00B007F1">
            <w:pPr>
              <w:pStyle w:val="TableParagraph"/>
              <w:spacing w:before="81"/>
              <w:ind w:left="59"/>
              <w:rPr>
                <w:sz w:val="16"/>
              </w:rPr>
            </w:pPr>
            <w:r>
              <w:rPr>
                <w:sz w:val="16"/>
              </w:rPr>
              <w:t>Short-Stay Quality Measure Star Rating</w:t>
            </w:r>
          </w:p>
        </w:tc>
        <w:tc>
          <w:tcPr>
            <w:tcW w:w="1920" w:type="dxa"/>
          </w:tcPr>
          <w:p w14:paraId="353E17FE" w14:textId="77777777" w:rsidR="005A709C" w:rsidRDefault="00B007F1">
            <w:pPr>
              <w:pStyle w:val="TableParagraph"/>
              <w:spacing w:before="103"/>
              <w:ind w:left="601" w:right="599"/>
              <w:jc w:val="center"/>
              <w:rPr>
                <w:rFonts w:ascii="Times New Roman" w:hAnsi="Times New Roman"/>
                <w:sz w:val="16"/>
              </w:rPr>
            </w:pPr>
            <w:r>
              <w:rPr>
                <w:rFonts w:ascii="Times New Roman" w:hAnsi="Times New Roman"/>
                <w:color w:val="000080"/>
                <w:w w:val="105"/>
                <w:sz w:val="16"/>
              </w:rPr>
              <w:t>★★★</w:t>
            </w:r>
          </w:p>
        </w:tc>
      </w:tr>
      <w:tr w:rsidR="005A709C" w14:paraId="500EDE54" w14:textId="77777777">
        <w:trPr>
          <w:trHeight w:val="381"/>
        </w:trPr>
        <w:tc>
          <w:tcPr>
            <w:tcW w:w="7459" w:type="dxa"/>
          </w:tcPr>
          <w:p w14:paraId="566F3915" w14:textId="77777777" w:rsidR="005A709C" w:rsidRDefault="00B007F1">
            <w:pPr>
              <w:pStyle w:val="TableParagraph"/>
              <w:spacing w:before="80"/>
              <w:ind w:left="59"/>
              <w:rPr>
                <w:sz w:val="11"/>
              </w:rPr>
            </w:pPr>
            <w:r>
              <w:rPr>
                <w:sz w:val="16"/>
              </w:rPr>
              <w:t>Total Quality Measure Score</w:t>
            </w:r>
            <w:r>
              <w:rPr>
                <w:position w:val="5"/>
                <w:sz w:val="11"/>
              </w:rPr>
              <w:t>2</w:t>
            </w:r>
          </w:p>
        </w:tc>
        <w:tc>
          <w:tcPr>
            <w:tcW w:w="1920" w:type="dxa"/>
          </w:tcPr>
          <w:p w14:paraId="03EDACE7" w14:textId="77777777" w:rsidR="005A709C" w:rsidRDefault="00B007F1">
            <w:pPr>
              <w:pStyle w:val="TableParagraph"/>
              <w:spacing w:before="81"/>
              <w:ind w:left="601" w:right="601"/>
              <w:jc w:val="center"/>
              <w:rPr>
                <w:sz w:val="16"/>
              </w:rPr>
            </w:pPr>
            <w:r>
              <w:rPr>
                <w:color w:val="000080"/>
                <w:sz w:val="16"/>
              </w:rPr>
              <w:t>1286</w:t>
            </w:r>
          </w:p>
        </w:tc>
      </w:tr>
      <w:tr w:rsidR="005A709C" w14:paraId="668BF465" w14:textId="77777777">
        <w:trPr>
          <w:trHeight w:val="381"/>
        </w:trPr>
        <w:tc>
          <w:tcPr>
            <w:tcW w:w="7459" w:type="dxa"/>
          </w:tcPr>
          <w:p w14:paraId="65741022" w14:textId="77777777" w:rsidR="005A709C" w:rsidRDefault="00B007F1">
            <w:pPr>
              <w:pStyle w:val="TableParagraph"/>
              <w:spacing w:before="81"/>
              <w:ind w:left="59"/>
              <w:rPr>
                <w:sz w:val="16"/>
              </w:rPr>
            </w:pPr>
            <w:r>
              <w:rPr>
                <w:sz w:val="16"/>
              </w:rPr>
              <w:t>Overall Quality Measure Star Rating</w:t>
            </w:r>
          </w:p>
        </w:tc>
        <w:tc>
          <w:tcPr>
            <w:tcW w:w="1920" w:type="dxa"/>
          </w:tcPr>
          <w:p w14:paraId="309BDD77" w14:textId="77777777" w:rsidR="005A709C" w:rsidRDefault="00B007F1">
            <w:pPr>
              <w:pStyle w:val="TableParagraph"/>
              <w:spacing w:before="103"/>
              <w:ind w:left="601" w:right="601"/>
              <w:jc w:val="center"/>
              <w:rPr>
                <w:rFonts w:ascii="Times New Roman" w:hAnsi="Times New Roman"/>
                <w:sz w:val="16"/>
              </w:rPr>
            </w:pPr>
            <w:r>
              <w:rPr>
                <w:rFonts w:ascii="Times New Roman" w:hAnsi="Times New Roman"/>
                <w:color w:val="000080"/>
                <w:w w:val="105"/>
                <w:sz w:val="16"/>
              </w:rPr>
              <w:t>★★★★</w:t>
            </w:r>
          </w:p>
        </w:tc>
      </w:tr>
    </w:tbl>
    <w:p w14:paraId="222BC28D" w14:textId="77777777" w:rsidR="005A709C" w:rsidRDefault="005A709C">
      <w:pPr>
        <w:pStyle w:val="BodyText"/>
        <w:spacing w:before="9"/>
        <w:rPr>
          <w:b/>
          <w:sz w:val="18"/>
        </w:rPr>
      </w:pPr>
    </w:p>
    <w:p w14:paraId="03D3585E" w14:textId="77777777" w:rsidR="005A709C" w:rsidRDefault="00B007F1">
      <w:pPr>
        <w:ind w:left="197" w:right="400"/>
        <w:rPr>
          <w:i/>
          <w:sz w:val="16"/>
        </w:rPr>
      </w:pPr>
      <w:r>
        <w:rPr>
          <w:i/>
          <w:position w:val="5"/>
          <w:sz w:val="11"/>
        </w:rPr>
        <w:t>1</w:t>
      </w:r>
      <w:r>
        <w:rPr>
          <w:i/>
          <w:sz w:val="16"/>
        </w:rPr>
        <w:t>An adjustment factor of 1150/800 is applied to the unadjusted total short-stay score to allow the long- and short-stay QMs to count equally in the total QM score.</w:t>
      </w:r>
    </w:p>
    <w:p w14:paraId="5DF1CA04" w14:textId="77777777" w:rsidR="005A709C" w:rsidRDefault="00B007F1">
      <w:pPr>
        <w:spacing w:line="186" w:lineRule="exact"/>
        <w:ind w:left="197"/>
        <w:rPr>
          <w:i/>
          <w:sz w:val="16"/>
        </w:rPr>
      </w:pPr>
      <w:r>
        <w:rPr>
          <w:i/>
          <w:position w:val="5"/>
          <w:sz w:val="11"/>
        </w:rPr>
        <w:t>2</w:t>
      </w:r>
      <w:r>
        <w:rPr>
          <w:i/>
          <w:sz w:val="16"/>
        </w:rPr>
        <w:t>The total quality measure score is the sum of the total long-stay score and the total short-stay score. If a provider has only a</w:t>
      </w:r>
    </w:p>
    <w:p w14:paraId="1FDFDA51" w14:textId="77777777" w:rsidR="005A709C" w:rsidRDefault="00B007F1">
      <w:pPr>
        <w:spacing w:before="1"/>
        <w:ind w:left="197" w:right="658"/>
        <w:rPr>
          <w:i/>
          <w:sz w:val="16"/>
        </w:rPr>
      </w:pPr>
      <w:r>
        <w:rPr>
          <w:i/>
          <w:sz w:val="16"/>
        </w:rPr>
        <w:t>long-stay score or only a short-stay score, then no total score is calculated and their overall QM rating is the same as the long-stay or short-stay QM rating, depending on which is available.</w:t>
      </w:r>
    </w:p>
    <w:p w14:paraId="69C70740" w14:textId="77777777" w:rsidR="005A709C" w:rsidRDefault="005A709C">
      <w:pPr>
        <w:rPr>
          <w:sz w:val="16"/>
        </w:rPr>
        <w:sectPr w:rsidR="005A709C">
          <w:pgSz w:w="12240" w:h="15840"/>
          <w:pgMar w:top="1020" w:right="1120" w:bottom="280" w:left="1000" w:header="805" w:footer="0" w:gutter="0"/>
          <w:cols w:space="720"/>
        </w:sectPr>
      </w:pPr>
    </w:p>
    <w:p w14:paraId="136E1A70" w14:textId="77777777" w:rsidR="005A709C" w:rsidRDefault="005A709C">
      <w:pPr>
        <w:pStyle w:val="BodyText"/>
        <w:spacing w:before="7"/>
        <w:rPr>
          <w:i/>
          <w:sz w:val="14"/>
        </w:rPr>
      </w:pPr>
    </w:p>
    <w:p w14:paraId="01F8FBA8" w14:textId="77777777" w:rsidR="005A709C" w:rsidRDefault="00B007F1">
      <w:pPr>
        <w:pStyle w:val="Heading3"/>
        <w:spacing w:before="94"/>
        <w:ind w:left="1908" w:right="2147"/>
        <w:jc w:val="center"/>
      </w:pPr>
      <w:r>
        <w:t>Quality Measures that are Not Included in the QM Rating</w:t>
      </w:r>
    </w:p>
    <w:p w14:paraId="47DAFBA7" w14:textId="77777777" w:rsidR="005A709C" w:rsidRDefault="005A709C">
      <w:pPr>
        <w:pStyle w:val="BodyText"/>
        <w:spacing w:before="4"/>
        <w:rPr>
          <w:b/>
          <w:sz w:val="21"/>
        </w:rPr>
      </w:pPr>
    </w:p>
    <w:tbl>
      <w:tblPr>
        <w:tblW w:w="0" w:type="auto"/>
        <w:tblInd w:w="327"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3840"/>
        <w:gridCol w:w="770"/>
        <w:gridCol w:w="770"/>
        <w:gridCol w:w="770"/>
        <w:gridCol w:w="770"/>
        <w:gridCol w:w="770"/>
        <w:gridCol w:w="770"/>
        <w:gridCol w:w="768"/>
      </w:tblGrid>
      <w:tr w:rsidR="005A709C" w14:paraId="51977424" w14:textId="77777777">
        <w:trPr>
          <w:trHeight w:val="273"/>
        </w:trPr>
        <w:tc>
          <w:tcPr>
            <w:tcW w:w="3840" w:type="dxa"/>
          </w:tcPr>
          <w:p w14:paraId="36F5022C" w14:textId="77777777" w:rsidR="005A709C" w:rsidRDefault="005A709C">
            <w:pPr>
              <w:pStyle w:val="TableParagraph"/>
              <w:spacing w:before="0"/>
              <w:rPr>
                <w:rFonts w:ascii="Times New Roman"/>
                <w:sz w:val="16"/>
              </w:rPr>
            </w:pPr>
          </w:p>
        </w:tc>
        <w:tc>
          <w:tcPr>
            <w:tcW w:w="3850" w:type="dxa"/>
            <w:gridSpan w:val="5"/>
          </w:tcPr>
          <w:p w14:paraId="70612DEB" w14:textId="77777777" w:rsidR="005A709C" w:rsidRDefault="00B007F1">
            <w:pPr>
              <w:pStyle w:val="TableParagraph"/>
              <w:ind w:left="1289" w:right="1287"/>
              <w:jc w:val="center"/>
              <w:rPr>
                <w:b/>
                <w:sz w:val="16"/>
              </w:rPr>
            </w:pPr>
            <w:r>
              <w:rPr>
                <w:b/>
                <w:color w:val="000080"/>
                <w:sz w:val="16"/>
              </w:rPr>
              <w:t>Provider 335127</w:t>
            </w:r>
          </w:p>
        </w:tc>
        <w:tc>
          <w:tcPr>
            <w:tcW w:w="770" w:type="dxa"/>
          </w:tcPr>
          <w:p w14:paraId="5B2B8BB4" w14:textId="77777777" w:rsidR="005A709C" w:rsidRDefault="00B007F1">
            <w:pPr>
              <w:pStyle w:val="TableParagraph"/>
              <w:ind w:left="78" w:right="73"/>
              <w:jc w:val="center"/>
              <w:rPr>
                <w:b/>
                <w:sz w:val="16"/>
              </w:rPr>
            </w:pPr>
            <w:r>
              <w:rPr>
                <w:b/>
                <w:color w:val="800080"/>
                <w:sz w:val="16"/>
              </w:rPr>
              <w:t>NY</w:t>
            </w:r>
          </w:p>
        </w:tc>
        <w:tc>
          <w:tcPr>
            <w:tcW w:w="768" w:type="dxa"/>
          </w:tcPr>
          <w:p w14:paraId="309B51A2" w14:textId="77777777" w:rsidR="005A709C" w:rsidRDefault="00B007F1">
            <w:pPr>
              <w:pStyle w:val="TableParagraph"/>
              <w:ind w:left="97" w:right="89"/>
              <w:jc w:val="center"/>
              <w:rPr>
                <w:b/>
                <w:sz w:val="16"/>
              </w:rPr>
            </w:pPr>
            <w:r>
              <w:rPr>
                <w:b/>
                <w:sz w:val="16"/>
              </w:rPr>
              <w:t>US</w:t>
            </w:r>
          </w:p>
        </w:tc>
      </w:tr>
      <w:tr w:rsidR="005A709C" w14:paraId="0545B64A" w14:textId="77777777">
        <w:trPr>
          <w:trHeight w:val="273"/>
        </w:trPr>
        <w:tc>
          <w:tcPr>
            <w:tcW w:w="3840" w:type="dxa"/>
          </w:tcPr>
          <w:p w14:paraId="3A4F5D13" w14:textId="77777777" w:rsidR="005A709C" w:rsidRDefault="00B007F1">
            <w:pPr>
              <w:pStyle w:val="TableParagraph"/>
              <w:ind w:left="59"/>
              <w:rPr>
                <w:b/>
                <w:sz w:val="16"/>
              </w:rPr>
            </w:pPr>
            <w:r>
              <w:rPr>
                <w:b/>
                <w:sz w:val="16"/>
              </w:rPr>
              <w:t>MDS Long-Stay Measures</w:t>
            </w:r>
          </w:p>
        </w:tc>
        <w:tc>
          <w:tcPr>
            <w:tcW w:w="770" w:type="dxa"/>
          </w:tcPr>
          <w:p w14:paraId="11B26D22" w14:textId="77777777" w:rsidR="005A709C" w:rsidRDefault="00B007F1">
            <w:pPr>
              <w:pStyle w:val="TableParagraph"/>
              <w:ind w:right="91"/>
              <w:jc w:val="right"/>
              <w:rPr>
                <w:b/>
                <w:sz w:val="16"/>
              </w:rPr>
            </w:pPr>
            <w:r>
              <w:rPr>
                <w:b/>
                <w:color w:val="000080"/>
                <w:sz w:val="16"/>
              </w:rPr>
              <w:t>2024Q3</w:t>
            </w:r>
          </w:p>
        </w:tc>
        <w:tc>
          <w:tcPr>
            <w:tcW w:w="770" w:type="dxa"/>
          </w:tcPr>
          <w:p w14:paraId="051172EB" w14:textId="77777777" w:rsidR="005A709C" w:rsidRDefault="00B007F1">
            <w:pPr>
              <w:pStyle w:val="TableParagraph"/>
              <w:ind w:left="77" w:right="74"/>
              <w:jc w:val="center"/>
              <w:rPr>
                <w:b/>
                <w:sz w:val="16"/>
              </w:rPr>
            </w:pPr>
            <w:r>
              <w:rPr>
                <w:b/>
                <w:color w:val="000080"/>
                <w:sz w:val="16"/>
              </w:rPr>
              <w:t>2024Q4</w:t>
            </w:r>
          </w:p>
        </w:tc>
        <w:tc>
          <w:tcPr>
            <w:tcW w:w="770" w:type="dxa"/>
          </w:tcPr>
          <w:p w14:paraId="09725261" w14:textId="77777777" w:rsidR="005A709C" w:rsidRDefault="00B007F1">
            <w:pPr>
              <w:pStyle w:val="TableParagraph"/>
              <w:ind w:left="78" w:right="74"/>
              <w:jc w:val="center"/>
              <w:rPr>
                <w:b/>
                <w:sz w:val="16"/>
              </w:rPr>
            </w:pPr>
            <w:r>
              <w:rPr>
                <w:b/>
                <w:color w:val="000080"/>
                <w:sz w:val="16"/>
              </w:rPr>
              <w:t>2025Q1</w:t>
            </w:r>
          </w:p>
        </w:tc>
        <w:tc>
          <w:tcPr>
            <w:tcW w:w="770" w:type="dxa"/>
          </w:tcPr>
          <w:p w14:paraId="01CEFEC7" w14:textId="77777777" w:rsidR="005A709C" w:rsidRDefault="00B007F1">
            <w:pPr>
              <w:pStyle w:val="TableParagraph"/>
              <w:ind w:left="78" w:right="74"/>
              <w:jc w:val="center"/>
              <w:rPr>
                <w:b/>
                <w:sz w:val="16"/>
              </w:rPr>
            </w:pPr>
            <w:r>
              <w:rPr>
                <w:b/>
                <w:color w:val="000080"/>
                <w:sz w:val="16"/>
              </w:rPr>
              <w:t>2025Q2</w:t>
            </w:r>
          </w:p>
        </w:tc>
        <w:tc>
          <w:tcPr>
            <w:tcW w:w="770" w:type="dxa"/>
          </w:tcPr>
          <w:p w14:paraId="7D10B9DC" w14:textId="77777777" w:rsidR="005A709C" w:rsidRDefault="00B007F1">
            <w:pPr>
              <w:pStyle w:val="TableParagraph"/>
              <w:ind w:left="77" w:right="74"/>
              <w:jc w:val="center"/>
              <w:rPr>
                <w:b/>
                <w:sz w:val="16"/>
              </w:rPr>
            </w:pPr>
            <w:r>
              <w:rPr>
                <w:b/>
                <w:color w:val="000080"/>
                <w:sz w:val="16"/>
              </w:rPr>
              <w:t>4Q avg</w:t>
            </w:r>
          </w:p>
        </w:tc>
        <w:tc>
          <w:tcPr>
            <w:tcW w:w="770" w:type="dxa"/>
          </w:tcPr>
          <w:p w14:paraId="05B71527" w14:textId="77777777" w:rsidR="005A709C" w:rsidRDefault="00B007F1">
            <w:pPr>
              <w:pStyle w:val="TableParagraph"/>
              <w:ind w:right="108"/>
              <w:jc w:val="right"/>
              <w:rPr>
                <w:b/>
                <w:sz w:val="16"/>
              </w:rPr>
            </w:pPr>
            <w:r>
              <w:rPr>
                <w:b/>
                <w:color w:val="800080"/>
                <w:sz w:val="16"/>
              </w:rPr>
              <w:t>4Q avg</w:t>
            </w:r>
          </w:p>
        </w:tc>
        <w:tc>
          <w:tcPr>
            <w:tcW w:w="768" w:type="dxa"/>
          </w:tcPr>
          <w:p w14:paraId="5BB336AF" w14:textId="77777777" w:rsidR="005A709C" w:rsidRDefault="00B007F1">
            <w:pPr>
              <w:pStyle w:val="TableParagraph"/>
              <w:ind w:left="97" w:right="91"/>
              <w:jc w:val="center"/>
              <w:rPr>
                <w:b/>
                <w:sz w:val="16"/>
              </w:rPr>
            </w:pPr>
            <w:r>
              <w:rPr>
                <w:b/>
                <w:sz w:val="16"/>
              </w:rPr>
              <w:t>4Q avg</w:t>
            </w:r>
          </w:p>
        </w:tc>
      </w:tr>
      <w:tr w:rsidR="005A709C" w14:paraId="09A6208B" w14:textId="77777777">
        <w:trPr>
          <w:trHeight w:val="273"/>
        </w:trPr>
        <w:tc>
          <w:tcPr>
            <w:tcW w:w="3840" w:type="dxa"/>
            <w:shd w:val="clear" w:color="auto" w:fill="CCCCCC"/>
          </w:tcPr>
          <w:p w14:paraId="5E6ED8C6" w14:textId="77777777" w:rsidR="005A709C" w:rsidRDefault="00B007F1">
            <w:pPr>
              <w:pStyle w:val="TableParagraph"/>
              <w:ind w:left="59"/>
              <w:rPr>
                <w:i/>
                <w:sz w:val="16"/>
              </w:rPr>
            </w:pPr>
            <w:r>
              <w:rPr>
                <w:i/>
                <w:sz w:val="16"/>
              </w:rPr>
              <w:t>Higher percentages are better.</w:t>
            </w:r>
          </w:p>
        </w:tc>
        <w:tc>
          <w:tcPr>
            <w:tcW w:w="770" w:type="dxa"/>
            <w:shd w:val="clear" w:color="auto" w:fill="CCCCCC"/>
          </w:tcPr>
          <w:p w14:paraId="5D7EFDFE" w14:textId="77777777" w:rsidR="005A709C" w:rsidRDefault="005A709C">
            <w:pPr>
              <w:pStyle w:val="TableParagraph"/>
              <w:spacing w:before="0"/>
              <w:rPr>
                <w:rFonts w:ascii="Times New Roman"/>
                <w:sz w:val="16"/>
              </w:rPr>
            </w:pPr>
          </w:p>
        </w:tc>
        <w:tc>
          <w:tcPr>
            <w:tcW w:w="770" w:type="dxa"/>
            <w:shd w:val="clear" w:color="auto" w:fill="CCCCCC"/>
          </w:tcPr>
          <w:p w14:paraId="6BE2DFD9" w14:textId="77777777" w:rsidR="005A709C" w:rsidRDefault="005A709C">
            <w:pPr>
              <w:pStyle w:val="TableParagraph"/>
              <w:spacing w:before="0"/>
              <w:rPr>
                <w:rFonts w:ascii="Times New Roman"/>
                <w:sz w:val="16"/>
              </w:rPr>
            </w:pPr>
          </w:p>
        </w:tc>
        <w:tc>
          <w:tcPr>
            <w:tcW w:w="770" w:type="dxa"/>
            <w:shd w:val="clear" w:color="auto" w:fill="CCCCCC"/>
          </w:tcPr>
          <w:p w14:paraId="79B27B38" w14:textId="77777777" w:rsidR="005A709C" w:rsidRDefault="005A709C">
            <w:pPr>
              <w:pStyle w:val="TableParagraph"/>
              <w:spacing w:before="0"/>
              <w:rPr>
                <w:rFonts w:ascii="Times New Roman"/>
                <w:sz w:val="16"/>
              </w:rPr>
            </w:pPr>
          </w:p>
        </w:tc>
        <w:tc>
          <w:tcPr>
            <w:tcW w:w="770" w:type="dxa"/>
            <w:shd w:val="clear" w:color="auto" w:fill="CCCCCC"/>
          </w:tcPr>
          <w:p w14:paraId="4F2E090E" w14:textId="77777777" w:rsidR="005A709C" w:rsidRDefault="005A709C">
            <w:pPr>
              <w:pStyle w:val="TableParagraph"/>
              <w:spacing w:before="0"/>
              <w:rPr>
                <w:rFonts w:ascii="Times New Roman"/>
                <w:sz w:val="16"/>
              </w:rPr>
            </w:pPr>
          </w:p>
        </w:tc>
        <w:tc>
          <w:tcPr>
            <w:tcW w:w="770" w:type="dxa"/>
            <w:shd w:val="clear" w:color="auto" w:fill="CCCCCC"/>
          </w:tcPr>
          <w:p w14:paraId="341E45B6" w14:textId="77777777" w:rsidR="005A709C" w:rsidRDefault="005A709C">
            <w:pPr>
              <w:pStyle w:val="TableParagraph"/>
              <w:spacing w:before="0"/>
              <w:rPr>
                <w:rFonts w:ascii="Times New Roman"/>
                <w:sz w:val="16"/>
              </w:rPr>
            </w:pPr>
          </w:p>
        </w:tc>
        <w:tc>
          <w:tcPr>
            <w:tcW w:w="770" w:type="dxa"/>
            <w:shd w:val="clear" w:color="auto" w:fill="CCCCCC"/>
          </w:tcPr>
          <w:p w14:paraId="086538FA" w14:textId="77777777" w:rsidR="005A709C" w:rsidRDefault="005A709C">
            <w:pPr>
              <w:pStyle w:val="TableParagraph"/>
              <w:spacing w:before="0"/>
              <w:rPr>
                <w:rFonts w:ascii="Times New Roman"/>
                <w:sz w:val="16"/>
              </w:rPr>
            </w:pPr>
          </w:p>
        </w:tc>
        <w:tc>
          <w:tcPr>
            <w:tcW w:w="768" w:type="dxa"/>
            <w:shd w:val="clear" w:color="auto" w:fill="CCCCCC"/>
          </w:tcPr>
          <w:p w14:paraId="2E478AD7" w14:textId="77777777" w:rsidR="005A709C" w:rsidRDefault="005A709C">
            <w:pPr>
              <w:pStyle w:val="TableParagraph"/>
              <w:spacing w:before="0"/>
              <w:rPr>
                <w:rFonts w:ascii="Times New Roman"/>
                <w:sz w:val="16"/>
              </w:rPr>
            </w:pPr>
          </w:p>
        </w:tc>
      </w:tr>
      <w:tr w:rsidR="005A709C" w14:paraId="5EA66294" w14:textId="77777777">
        <w:trPr>
          <w:trHeight w:val="827"/>
        </w:trPr>
        <w:tc>
          <w:tcPr>
            <w:tcW w:w="3840" w:type="dxa"/>
          </w:tcPr>
          <w:p w14:paraId="453B1E15" w14:textId="77777777" w:rsidR="005A709C" w:rsidRDefault="00B007F1">
            <w:pPr>
              <w:pStyle w:val="TableParagraph"/>
              <w:ind w:left="59" w:right="115"/>
              <w:rPr>
                <w:sz w:val="16"/>
              </w:rPr>
            </w:pPr>
            <w:r>
              <w:rPr>
                <w:sz w:val="16"/>
              </w:rPr>
              <w:t>Percentage of residents assessed and appropriately given the seasonal influenza vaccine. The time period for data used in reporting is 07/01/2024 through</w:t>
            </w:r>
            <w:r>
              <w:rPr>
                <w:spacing w:val="1"/>
                <w:sz w:val="16"/>
              </w:rPr>
              <w:t xml:space="preserve"> </w:t>
            </w:r>
            <w:r>
              <w:rPr>
                <w:sz w:val="16"/>
              </w:rPr>
              <w:t>06/30/2025</w:t>
            </w:r>
          </w:p>
        </w:tc>
        <w:tc>
          <w:tcPr>
            <w:tcW w:w="770" w:type="dxa"/>
            <w:shd w:val="clear" w:color="auto" w:fill="CCCCCC"/>
          </w:tcPr>
          <w:p w14:paraId="07FDDE34" w14:textId="77777777" w:rsidR="005A709C" w:rsidRDefault="005A709C">
            <w:pPr>
              <w:pStyle w:val="TableParagraph"/>
              <w:spacing w:before="0"/>
              <w:rPr>
                <w:rFonts w:ascii="Times New Roman"/>
                <w:sz w:val="16"/>
              </w:rPr>
            </w:pPr>
          </w:p>
        </w:tc>
        <w:tc>
          <w:tcPr>
            <w:tcW w:w="770" w:type="dxa"/>
            <w:shd w:val="clear" w:color="auto" w:fill="CCCCCC"/>
          </w:tcPr>
          <w:p w14:paraId="31422AD0" w14:textId="77777777" w:rsidR="005A709C" w:rsidRDefault="005A709C">
            <w:pPr>
              <w:pStyle w:val="TableParagraph"/>
              <w:spacing w:before="0"/>
              <w:rPr>
                <w:rFonts w:ascii="Times New Roman"/>
                <w:sz w:val="16"/>
              </w:rPr>
            </w:pPr>
          </w:p>
        </w:tc>
        <w:tc>
          <w:tcPr>
            <w:tcW w:w="770" w:type="dxa"/>
            <w:shd w:val="clear" w:color="auto" w:fill="CCCCCC"/>
          </w:tcPr>
          <w:p w14:paraId="527130B3" w14:textId="77777777" w:rsidR="005A709C" w:rsidRDefault="005A709C">
            <w:pPr>
              <w:pStyle w:val="TableParagraph"/>
              <w:spacing w:before="0"/>
              <w:rPr>
                <w:rFonts w:ascii="Times New Roman"/>
                <w:sz w:val="16"/>
              </w:rPr>
            </w:pPr>
          </w:p>
        </w:tc>
        <w:tc>
          <w:tcPr>
            <w:tcW w:w="770" w:type="dxa"/>
            <w:shd w:val="clear" w:color="auto" w:fill="CCCCCC"/>
          </w:tcPr>
          <w:p w14:paraId="5B661346" w14:textId="77777777" w:rsidR="005A709C" w:rsidRDefault="005A709C">
            <w:pPr>
              <w:pStyle w:val="TableParagraph"/>
              <w:spacing w:before="0"/>
              <w:rPr>
                <w:rFonts w:ascii="Times New Roman"/>
                <w:sz w:val="16"/>
              </w:rPr>
            </w:pPr>
          </w:p>
        </w:tc>
        <w:tc>
          <w:tcPr>
            <w:tcW w:w="770" w:type="dxa"/>
          </w:tcPr>
          <w:p w14:paraId="75FE52DF" w14:textId="77777777" w:rsidR="005A709C" w:rsidRDefault="00B007F1">
            <w:pPr>
              <w:pStyle w:val="TableParagraph"/>
              <w:ind w:left="78" w:right="71"/>
              <w:jc w:val="center"/>
              <w:rPr>
                <w:sz w:val="16"/>
              </w:rPr>
            </w:pPr>
            <w:r>
              <w:rPr>
                <w:color w:val="000080"/>
                <w:sz w:val="16"/>
              </w:rPr>
              <w:t>100%</w:t>
            </w:r>
          </w:p>
        </w:tc>
        <w:tc>
          <w:tcPr>
            <w:tcW w:w="770" w:type="dxa"/>
          </w:tcPr>
          <w:p w14:paraId="38BE2B2D" w14:textId="77777777" w:rsidR="005A709C" w:rsidRDefault="00B007F1">
            <w:pPr>
              <w:pStyle w:val="TableParagraph"/>
              <w:ind w:right="148"/>
              <w:jc w:val="right"/>
              <w:rPr>
                <w:sz w:val="16"/>
              </w:rPr>
            </w:pPr>
            <w:r>
              <w:rPr>
                <w:color w:val="800080"/>
                <w:sz w:val="16"/>
              </w:rPr>
              <w:t>95.2%</w:t>
            </w:r>
          </w:p>
        </w:tc>
        <w:tc>
          <w:tcPr>
            <w:tcW w:w="768" w:type="dxa"/>
          </w:tcPr>
          <w:p w14:paraId="728B220E" w14:textId="77777777" w:rsidR="005A709C" w:rsidRDefault="00B007F1">
            <w:pPr>
              <w:pStyle w:val="TableParagraph"/>
              <w:ind w:left="97" w:right="90"/>
              <w:jc w:val="center"/>
              <w:rPr>
                <w:sz w:val="16"/>
              </w:rPr>
            </w:pPr>
            <w:r>
              <w:rPr>
                <w:sz w:val="16"/>
              </w:rPr>
              <w:t>95.4%</w:t>
            </w:r>
          </w:p>
        </w:tc>
      </w:tr>
      <w:tr w:rsidR="005A709C" w14:paraId="2B75B4B3" w14:textId="77777777">
        <w:trPr>
          <w:trHeight w:val="458"/>
        </w:trPr>
        <w:tc>
          <w:tcPr>
            <w:tcW w:w="3840" w:type="dxa"/>
          </w:tcPr>
          <w:p w14:paraId="3020AC65" w14:textId="77777777" w:rsidR="005A709C" w:rsidRDefault="00B007F1">
            <w:pPr>
              <w:pStyle w:val="TableParagraph"/>
              <w:ind w:left="59" w:right="149"/>
              <w:rPr>
                <w:sz w:val="16"/>
              </w:rPr>
            </w:pPr>
            <w:r>
              <w:rPr>
                <w:sz w:val="16"/>
              </w:rPr>
              <w:t>Percentage of residents assessed and appropriately given the pneumococcal vaccine</w:t>
            </w:r>
          </w:p>
        </w:tc>
        <w:tc>
          <w:tcPr>
            <w:tcW w:w="770" w:type="dxa"/>
          </w:tcPr>
          <w:p w14:paraId="7082765B" w14:textId="77777777" w:rsidR="005A709C" w:rsidRDefault="00B007F1">
            <w:pPr>
              <w:pStyle w:val="TableParagraph"/>
              <w:ind w:right="150"/>
              <w:jc w:val="right"/>
              <w:rPr>
                <w:sz w:val="16"/>
              </w:rPr>
            </w:pPr>
            <w:r>
              <w:rPr>
                <w:color w:val="000080"/>
                <w:sz w:val="16"/>
              </w:rPr>
              <w:t>98.2%</w:t>
            </w:r>
          </w:p>
        </w:tc>
        <w:tc>
          <w:tcPr>
            <w:tcW w:w="770" w:type="dxa"/>
          </w:tcPr>
          <w:p w14:paraId="58036ED4" w14:textId="77777777" w:rsidR="005A709C" w:rsidRDefault="00B007F1">
            <w:pPr>
              <w:pStyle w:val="TableParagraph"/>
              <w:ind w:left="75" w:right="74"/>
              <w:jc w:val="center"/>
              <w:rPr>
                <w:sz w:val="16"/>
              </w:rPr>
            </w:pPr>
            <w:r>
              <w:rPr>
                <w:color w:val="000080"/>
                <w:sz w:val="16"/>
              </w:rPr>
              <w:t>98.3%</w:t>
            </w:r>
          </w:p>
        </w:tc>
        <w:tc>
          <w:tcPr>
            <w:tcW w:w="770" w:type="dxa"/>
          </w:tcPr>
          <w:p w14:paraId="16BF98E7" w14:textId="77777777" w:rsidR="005A709C" w:rsidRDefault="00B007F1">
            <w:pPr>
              <w:pStyle w:val="TableParagraph"/>
              <w:ind w:left="78" w:right="73"/>
              <w:jc w:val="center"/>
              <w:rPr>
                <w:sz w:val="16"/>
              </w:rPr>
            </w:pPr>
            <w:r>
              <w:rPr>
                <w:color w:val="000080"/>
                <w:sz w:val="16"/>
              </w:rPr>
              <w:t>100%</w:t>
            </w:r>
          </w:p>
        </w:tc>
        <w:tc>
          <w:tcPr>
            <w:tcW w:w="770" w:type="dxa"/>
          </w:tcPr>
          <w:p w14:paraId="4F59A03F" w14:textId="77777777" w:rsidR="005A709C" w:rsidRDefault="00B007F1">
            <w:pPr>
              <w:pStyle w:val="TableParagraph"/>
              <w:ind w:left="78" w:right="72"/>
              <w:jc w:val="center"/>
              <w:rPr>
                <w:sz w:val="16"/>
              </w:rPr>
            </w:pPr>
            <w:r>
              <w:rPr>
                <w:color w:val="000080"/>
                <w:sz w:val="16"/>
              </w:rPr>
              <w:t>100%</w:t>
            </w:r>
          </w:p>
        </w:tc>
        <w:tc>
          <w:tcPr>
            <w:tcW w:w="770" w:type="dxa"/>
          </w:tcPr>
          <w:p w14:paraId="3C6571EB" w14:textId="77777777" w:rsidR="005A709C" w:rsidRDefault="00B007F1">
            <w:pPr>
              <w:pStyle w:val="TableParagraph"/>
              <w:ind w:left="77" w:right="74"/>
              <w:jc w:val="center"/>
              <w:rPr>
                <w:sz w:val="16"/>
              </w:rPr>
            </w:pPr>
            <w:r>
              <w:rPr>
                <w:color w:val="000080"/>
                <w:sz w:val="16"/>
              </w:rPr>
              <w:t>99.1%</w:t>
            </w:r>
          </w:p>
        </w:tc>
        <w:tc>
          <w:tcPr>
            <w:tcW w:w="770" w:type="dxa"/>
          </w:tcPr>
          <w:p w14:paraId="1AD026D4" w14:textId="77777777" w:rsidR="005A709C" w:rsidRDefault="00B007F1">
            <w:pPr>
              <w:pStyle w:val="TableParagraph"/>
              <w:ind w:right="148"/>
              <w:jc w:val="right"/>
              <w:rPr>
                <w:sz w:val="16"/>
              </w:rPr>
            </w:pPr>
            <w:r>
              <w:rPr>
                <w:color w:val="800080"/>
                <w:sz w:val="16"/>
              </w:rPr>
              <w:t>91.4%</w:t>
            </w:r>
          </w:p>
        </w:tc>
        <w:tc>
          <w:tcPr>
            <w:tcW w:w="768" w:type="dxa"/>
          </w:tcPr>
          <w:p w14:paraId="3E6E606B" w14:textId="77777777" w:rsidR="005A709C" w:rsidRDefault="00B007F1">
            <w:pPr>
              <w:pStyle w:val="TableParagraph"/>
              <w:ind w:left="97" w:right="90"/>
              <w:jc w:val="center"/>
              <w:rPr>
                <w:sz w:val="16"/>
              </w:rPr>
            </w:pPr>
            <w:r>
              <w:rPr>
                <w:sz w:val="16"/>
              </w:rPr>
              <w:t>93.4%</w:t>
            </w:r>
          </w:p>
        </w:tc>
      </w:tr>
      <w:tr w:rsidR="005A709C" w14:paraId="0CFE1AA5" w14:textId="77777777">
        <w:trPr>
          <w:trHeight w:val="273"/>
        </w:trPr>
        <w:tc>
          <w:tcPr>
            <w:tcW w:w="3840" w:type="dxa"/>
            <w:shd w:val="clear" w:color="auto" w:fill="CCCCCC"/>
          </w:tcPr>
          <w:p w14:paraId="5DA209F9" w14:textId="77777777" w:rsidR="005A709C" w:rsidRDefault="00B007F1">
            <w:pPr>
              <w:pStyle w:val="TableParagraph"/>
              <w:ind w:left="59"/>
              <w:rPr>
                <w:i/>
                <w:sz w:val="16"/>
              </w:rPr>
            </w:pPr>
            <w:r>
              <w:rPr>
                <w:i/>
                <w:sz w:val="16"/>
              </w:rPr>
              <w:t>Lower percentages are better.</w:t>
            </w:r>
          </w:p>
        </w:tc>
        <w:tc>
          <w:tcPr>
            <w:tcW w:w="770" w:type="dxa"/>
            <w:shd w:val="clear" w:color="auto" w:fill="CCCCCC"/>
          </w:tcPr>
          <w:p w14:paraId="2C657238" w14:textId="77777777" w:rsidR="005A709C" w:rsidRDefault="005A709C">
            <w:pPr>
              <w:pStyle w:val="TableParagraph"/>
              <w:spacing w:before="0"/>
              <w:rPr>
                <w:rFonts w:ascii="Times New Roman"/>
                <w:sz w:val="16"/>
              </w:rPr>
            </w:pPr>
          </w:p>
        </w:tc>
        <w:tc>
          <w:tcPr>
            <w:tcW w:w="770" w:type="dxa"/>
            <w:shd w:val="clear" w:color="auto" w:fill="CCCCCC"/>
          </w:tcPr>
          <w:p w14:paraId="4ADBA33D" w14:textId="77777777" w:rsidR="005A709C" w:rsidRDefault="005A709C">
            <w:pPr>
              <w:pStyle w:val="TableParagraph"/>
              <w:spacing w:before="0"/>
              <w:rPr>
                <w:rFonts w:ascii="Times New Roman"/>
                <w:sz w:val="16"/>
              </w:rPr>
            </w:pPr>
          </w:p>
        </w:tc>
        <w:tc>
          <w:tcPr>
            <w:tcW w:w="770" w:type="dxa"/>
            <w:shd w:val="clear" w:color="auto" w:fill="CCCCCC"/>
          </w:tcPr>
          <w:p w14:paraId="67122D48" w14:textId="77777777" w:rsidR="005A709C" w:rsidRDefault="005A709C">
            <w:pPr>
              <w:pStyle w:val="TableParagraph"/>
              <w:spacing w:before="0"/>
              <w:rPr>
                <w:rFonts w:ascii="Times New Roman"/>
                <w:sz w:val="16"/>
              </w:rPr>
            </w:pPr>
          </w:p>
        </w:tc>
        <w:tc>
          <w:tcPr>
            <w:tcW w:w="770" w:type="dxa"/>
            <w:shd w:val="clear" w:color="auto" w:fill="CCCCCC"/>
          </w:tcPr>
          <w:p w14:paraId="3F5FFFFE" w14:textId="77777777" w:rsidR="005A709C" w:rsidRDefault="005A709C">
            <w:pPr>
              <w:pStyle w:val="TableParagraph"/>
              <w:spacing w:before="0"/>
              <w:rPr>
                <w:rFonts w:ascii="Times New Roman"/>
                <w:sz w:val="16"/>
              </w:rPr>
            </w:pPr>
          </w:p>
        </w:tc>
        <w:tc>
          <w:tcPr>
            <w:tcW w:w="770" w:type="dxa"/>
            <w:shd w:val="clear" w:color="auto" w:fill="CCCCCC"/>
          </w:tcPr>
          <w:p w14:paraId="60EC8F22" w14:textId="77777777" w:rsidR="005A709C" w:rsidRDefault="005A709C">
            <w:pPr>
              <w:pStyle w:val="TableParagraph"/>
              <w:spacing w:before="0"/>
              <w:rPr>
                <w:rFonts w:ascii="Times New Roman"/>
                <w:sz w:val="16"/>
              </w:rPr>
            </w:pPr>
          </w:p>
        </w:tc>
        <w:tc>
          <w:tcPr>
            <w:tcW w:w="770" w:type="dxa"/>
            <w:shd w:val="clear" w:color="auto" w:fill="CCCCCC"/>
          </w:tcPr>
          <w:p w14:paraId="6E3BFFB6" w14:textId="77777777" w:rsidR="005A709C" w:rsidRDefault="005A709C">
            <w:pPr>
              <w:pStyle w:val="TableParagraph"/>
              <w:spacing w:before="0"/>
              <w:rPr>
                <w:rFonts w:ascii="Times New Roman"/>
                <w:sz w:val="16"/>
              </w:rPr>
            </w:pPr>
          </w:p>
        </w:tc>
        <w:tc>
          <w:tcPr>
            <w:tcW w:w="768" w:type="dxa"/>
            <w:shd w:val="clear" w:color="auto" w:fill="CCCCCC"/>
          </w:tcPr>
          <w:p w14:paraId="0ECDECB2" w14:textId="77777777" w:rsidR="005A709C" w:rsidRDefault="005A709C">
            <w:pPr>
              <w:pStyle w:val="TableParagraph"/>
              <w:spacing w:before="0"/>
              <w:rPr>
                <w:rFonts w:ascii="Times New Roman"/>
                <w:sz w:val="16"/>
              </w:rPr>
            </w:pPr>
          </w:p>
        </w:tc>
      </w:tr>
      <w:tr w:rsidR="005A709C" w14:paraId="74E01926" w14:textId="77777777">
        <w:trPr>
          <w:trHeight w:val="458"/>
        </w:trPr>
        <w:tc>
          <w:tcPr>
            <w:tcW w:w="3840" w:type="dxa"/>
          </w:tcPr>
          <w:p w14:paraId="0B50E557" w14:textId="77777777" w:rsidR="005A709C" w:rsidRDefault="00B007F1">
            <w:pPr>
              <w:pStyle w:val="TableParagraph"/>
              <w:ind w:left="59"/>
              <w:rPr>
                <w:sz w:val="16"/>
              </w:rPr>
            </w:pPr>
            <w:r>
              <w:rPr>
                <w:sz w:val="16"/>
              </w:rPr>
              <w:t>Percentage of residents who were physically restrained</w:t>
            </w:r>
          </w:p>
        </w:tc>
        <w:tc>
          <w:tcPr>
            <w:tcW w:w="770" w:type="dxa"/>
          </w:tcPr>
          <w:p w14:paraId="397AF354" w14:textId="77777777" w:rsidR="005A709C" w:rsidRDefault="00B007F1">
            <w:pPr>
              <w:pStyle w:val="TableParagraph"/>
              <w:ind w:right="195"/>
              <w:jc w:val="right"/>
              <w:rPr>
                <w:sz w:val="16"/>
              </w:rPr>
            </w:pPr>
            <w:r>
              <w:rPr>
                <w:color w:val="000080"/>
                <w:sz w:val="16"/>
              </w:rPr>
              <w:t>8.0%</w:t>
            </w:r>
          </w:p>
        </w:tc>
        <w:tc>
          <w:tcPr>
            <w:tcW w:w="770" w:type="dxa"/>
          </w:tcPr>
          <w:p w14:paraId="3CD5A440" w14:textId="77777777" w:rsidR="005A709C" w:rsidRDefault="00B007F1">
            <w:pPr>
              <w:pStyle w:val="TableParagraph"/>
              <w:ind w:left="76" w:right="74"/>
              <w:jc w:val="center"/>
              <w:rPr>
                <w:sz w:val="16"/>
              </w:rPr>
            </w:pPr>
            <w:r>
              <w:rPr>
                <w:color w:val="000080"/>
                <w:sz w:val="16"/>
              </w:rPr>
              <w:t>6.1%</w:t>
            </w:r>
          </w:p>
        </w:tc>
        <w:tc>
          <w:tcPr>
            <w:tcW w:w="770" w:type="dxa"/>
          </w:tcPr>
          <w:p w14:paraId="6B0AF0B5" w14:textId="77777777" w:rsidR="005A709C" w:rsidRDefault="00B007F1">
            <w:pPr>
              <w:pStyle w:val="TableParagraph"/>
              <w:ind w:left="77" w:right="74"/>
              <w:jc w:val="center"/>
              <w:rPr>
                <w:sz w:val="16"/>
              </w:rPr>
            </w:pPr>
            <w:r>
              <w:rPr>
                <w:color w:val="000080"/>
                <w:sz w:val="16"/>
              </w:rPr>
              <w:t>6.0%</w:t>
            </w:r>
          </w:p>
        </w:tc>
        <w:tc>
          <w:tcPr>
            <w:tcW w:w="770" w:type="dxa"/>
          </w:tcPr>
          <w:p w14:paraId="1DC13835" w14:textId="77777777" w:rsidR="005A709C" w:rsidRDefault="00B007F1">
            <w:pPr>
              <w:pStyle w:val="TableParagraph"/>
              <w:ind w:left="78" w:right="74"/>
              <w:jc w:val="center"/>
              <w:rPr>
                <w:sz w:val="16"/>
              </w:rPr>
            </w:pPr>
            <w:r>
              <w:rPr>
                <w:color w:val="000080"/>
                <w:sz w:val="16"/>
              </w:rPr>
              <w:t>6.1%</w:t>
            </w:r>
          </w:p>
        </w:tc>
        <w:tc>
          <w:tcPr>
            <w:tcW w:w="770" w:type="dxa"/>
          </w:tcPr>
          <w:p w14:paraId="189604D3" w14:textId="77777777" w:rsidR="005A709C" w:rsidRDefault="00B007F1">
            <w:pPr>
              <w:pStyle w:val="TableParagraph"/>
              <w:ind w:left="78" w:right="73"/>
              <w:jc w:val="center"/>
              <w:rPr>
                <w:sz w:val="16"/>
              </w:rPr>
            </w:pPr>
            <w:r>
              <w:rPr>
                <w:color w:val="000080"/>
                <w:sz w:val="16"/>
              </w:rPr>
              <w:t>6.6%</w:t>
            </w:r>
          </w:p>
        </w:tc>
        <w:tc>
          <w:tcPr>
            <w:tcW w:w="770" w:type="dxa"/>
          </w:tcPr>
          <w:p w14:paraId="4E43D5A3" w14:textId="77777777" w:rsidR="005A709C" w:rsidRDefault="00B007F1">
            <w:pPr>
              <w:pStyle w:val="TableParagraph"/>
              <w:ind w:right="193"/>
              <w:jc w:val="right"/>
              <w:rPr>
                <w:sz w:val="16"/>
              </w:rPr>
            </w:pPr>
            <w:r>
              <w:rPr>
                <w:color w:val="800080"/>
                <w:sz w:val="16"/>
              </w:rPr>
              <w:t>0.2%</w:t>
            </w:r>
          </w:p>
        </w:tc>
        <w:tc>
          <w:tcPr>
            <w:tcW w:w="768" w:type="dxa"/>
          </w:tcPr>
          <w:p w14:paraId="1B67B6E4" w14:textId="77777777" w:rsidR="005A709C" w:rsidRDefault="00B007F1">
            <w:pPr>
              <w:pStyle w:val="TableParagraph"/>
              <w:ind w:left="97" w:right="89"/>
              <w:jc w:val="center"/>
              <w:rPr>
                <w:sz w:val="16"/>
              </w:rPr>
            </w:pPr>
            <w:r>
              <w:rPr>
                <w:sz w:val="16"/>
              </w:rPr>
              <w:t>0.1%</w:t>
            </w:r>
          </w:p>
        </w:tc>
      </w:tr>
      <w:tr w:rsidR="005A709C" w14:paraId="65C8C675" w14:textId="77777777">
        <w:trPr>
          <w:trHeight w:val="458"/>
        </w:trPr>
        <w:tc>
          <w:tcPr>
            <w:tcW w:w="3840" w:type="dxa"/>
          </w:tcPr>
          <w:p w14:paraId="5431BC37" w14:textId="77777777" w:rsidR="005A709C" w:rsidRDefault="00B007F1">
            <w:pPr>
              <w:pStyle w:val="TableParagraph"/>
              <w:ind w:left="59" w:right="149"/>
              <w:rPr>
                <w:sz w:val="16"/>
              </w:rPr>
            </w:pPr>
            <w:r>
              <w:rPr>
                <w:sz w:val="16"/>
              </w:rPr>
              <w:t>Percentage of residents with new or worsened bowel or bladder incontinence</w:t>
            </w:r>
          </w:p>
        </w:tc>
        <w:tc>
          <w:tcPr>
            <w:tcW w:w="770" w:type="dxa"/>
          </w:tcPr>
          <w:p w14:paraId="130E7C19" w14:textId="77777777" w:rsidR="005A709C" w:rsidRDefault="00B007F1">
            <w:pPr>
              <w:pStyle w:val="TableParagraph"/>
              <w:ind w:right="150"/>
              <w:jc w:val="right"/>
              <w:rPr>
                <w:sz w:val="16"/>
              </w:rPr>
            </w:pPr>
            <w:r>
              <w:rPr>
                <w:color w:val="000080"/>
                <w:sz w:val="16"/>
              </w:rPr>
              <w:t>26.8%</w:t>
            </w:r>
          </w:p>
        </w:tc>
        <w:tc>
          <w:tcPr>
            <w:tcW w:w="770" w:type="dxa"/>
          </w:tcPr>
          <w:p w14:paraId="2DBB9710" w14:textId="77777777" w:rsidR="005A709C" w:rsidRDefault="00B007F1">
            <w:pPr>
              <w:pStyle w:val="TableParagraph"/>
              <w:ind w:left="75" w:right="74"/>
              <w:jc w:val="center"/>
              <w:rPr>
                <w:sz w:val="16"/>
              </w:rPr>
            </w:pPr>
            <w:r>
              <w:rPr>
                <w:color w:val="000080"/>
                <w:sz w:val="16"/>
              </w:rPr>
              <w:t>28.6%</w:t>
            </w:r>
          </w:p>
        </w:tc>
        <w:tc>
          <w:tcPr>
            <w:tcW w:w="770" w:type="dxa"/>
          </w:tcPr>
          <w:p w14:paraId="109EFB56" w14:textId="77777777" w:rsidR="005A709C" w:rsidRDefault="00B007F1">
            <w:pPr>
              <w:pStyle w:val="TableParagraph"/>
              <w:ind w:left="76" w:right="74"/>
              <w:jc w:val="center"/>
              <w:rPr>
                <w:sz w:val="16"/>
              </w:rPr>
            </w:pPr>
            <w:r>
              <w:rPr>
                <w:color w:val="000080"/>
                <w:sz w:val="16"/>
              </w:rPr>
              <w:t>35.1%</w:t>
            </w:r>
          </w:p>
        </w:tc>
        <w:tc>
          <w:tcPr>
            <w:tcW w:w="770" w:type="dxa"/>
          </w:tcPr>
          <w:p w14:paraId="3E1CC066" w14:textId="77777777" w:rsidR="005A709C" w:rsidRDefault="00B007F1">
            <w:pPr>
              <w:pStyle w:val="TableParagraph"/>
              <w:ind w:left="77" w:right="74"/>
              <w:jc w:val="center"/>
              <w:rPr>
                <w:sz w:val="16"/>
              </w:rPr>
            </w:pPr>
            <w:r>
              <w:rPr>
                <w:color w:val="000080"/>
                <w:sz w:val="16"/>
              </w:rPr>
              <w:t>24.7%</w:t>
            </w:r>
          </w:p>
        </w:tc>
        <w:tc>
          <w:tcPr>
            <w:tcW w:w="770" w:type="dxa"/>
          </w:tcPr>
          <w:p w14:paraId="700DDEB2" w14:textId="77777777" w:rsidR="005A709C" w:rsidRDefault="00B007F1">
            <w:pPr>
              <w:pStyle w:val="TableParagraph"/>
              <w:ind w:left="77" w:right="74"/>
              <w:jc w:val="center"/>
              <w:rPr>
                <w:sz w:val="16"/>
              </w:rPr>
            </w:pPr>
            <w:r>
              <w:rPr>
                <w:color w:val="000080"/>
                <w:sz w:val="16"/>
              </w:rPr>
              <w:t>28.8%</w:t>
            </w:r>
          </w:p>
        </w:tc>
        <w:tc>
          <w:tcPr>
            <w:tcW w:w="770" w:type="dxa"/>
          </w:tcPr>
          <w:p w14:paraId="5F25441B" w14:textId="77777777" w:rsidR="005A709C" w:rsidRDefault="00B007F1">
            <w:pPr>
              <w:pStyle w:val="TableParagraph"/>
              <w:ind w:right="148"/>
              <w:jc w:val="right"/>
              <w:rPr>
                <w:sz w:val="16"/>
              </w:rPr>
            </w:pPr>
            <w:r>
              <w:rPr>
                <w:color w:val="800080"/>
                <w:sz w:val="16"/>
              </w:rPr>
              <w:t>21.4%</w:t>
            </w:r>
          </w:p>
        </w:tc>
        <w:tc>
          <w:tcPr>
            <w:tcW w:w="768" w:type="dxa"/>
          </w:tcPr>
          <w:p w14:paraId="33B299F3" w14:textId="77777777" w:rsidR="005A709C" w:rsidRDefault="00B007F1">
            <w:pPr>
              <w:pStyle w:val="TableParagraph"/>
              <w:ind w:left="97" w:right="90"/>
              <w:jc w:val="center"/>
              <w:rPr>
                <w:sz w:val="16"/>
              </w:rPr>
            </w:pPr>
            <w:r>
              <w:rPr>
                <w:sz w:val="16"/>
              </w:rPr>
              <w:t>20.2%</w:t>
            </w:r>
          </w:p>
        </w:tc>
      </w:tr>
      <w:tr w:rsidR="005A709C" w14:paraId="1A1A45F3" w14:textId="77777777">
        <w:trPr>
          <w:trHeight w:val="273"/>
        </w:trPr>
        <w:tc>
          <w:tcPr>
            <w:tcW w:w="3840" w:type="dxa"/>
          </w:tcPr>
          <w:p w14:paraId="627265C5" w14:textId="77777777" w:rsidR="005A709C" w:rsidRDefault="00B007F1">
            <w:pPr>
              <w:pStyle w:val="TableParagraph"/>
              <w:ind w:left="59"/>
              <w:rPr>
                <w:sz w:val="16"/>
              </w:rPr>
            </w:pPr>
            <w:r>
              <w:rPr>
                <w:sz w:val="16"/>
              </w:rPr>
              <w:t>Percentage of residents who lose too much weight</w:t>
            </w:r>
          </w:p>
        </w:tc>
        <w:tc>
          <w:tcPr>
            <w:tcW w:w="770" w:type="dxa"/>
          </w:tcPr>
          <w:p w14:paraId="59B72CA7" w14:textId="77777777" w:rsidR="005A709C" w:rsidRDefault="00B007F1">
            <w:pPr>
              <w:pStyle w:val="TableParagraph"/>
              <w:ind w:right="150"/>
              <w:jc w:val="right"/>
              <w:rPr>
                <w:sz w:val="16"/>
              </w:rPr>
            </w:pPr>
            <w:r>
              <w:rPr>
                <w:color w:val="000080"/>
                <w:sz w:val="16"/>
              </w:rPr>
              <w:t>10.4%</w:t>
            </w:r>
          </w:p>
        </w:tc>
        <w:tc>
          <w:tcPr>
            <w:tcW w:w="770" w:type="dxa"/>
          </w:tcPr>
          <w:p w14:paraId="6338E6B2" w14:textId="77777777" w:rsidR="005A709C" w:rsidRDefault="00B007F1">
            <w:pPr>
              <w:pStyle w:val="TableParagraph"/>
              <w:ind w:left="76" w:right="74"/>
              <w:jc w:val="center"/>
              <w:rPr>
                <w:sz w:val="16"/>
              </w:rPr>
            </w:pPr>
            <w:r>
              <w:rPr>
                <w:color w:val="000080"/>
                <w:sz w:val="16"/>
              </w:rPr>
              <w:t>3.7%</w:t>
            </w:r>
          </w:p>
        </w:tc>
        <w:tc>
          <w:tcPr>
            <w:tcW w:w="770" w:type="dxa"/>
          </w:tcPr>
          <w:p w14:paraId="18F72750" w14:textId="77777777" w:rsidR="005A709C" w:rsidRDefault="00B007F1">
            <w:pPr>
              <w:pStyle w:val="TableParagraph"/>
              <w:ind w:left="77" w:right="74"/>
              <w:jc w:val="center"/>
              <w:rPr>
                <w:sz w:val="16"/>
              </w:rPr>
            </w:pPr>
            <w:r>
              <w:rPr>
                <w:color w:val="000080"/>
                <w:sz w:val="16"/>
              </w:rPr>
              <w:t>8.9%</w:t>
            </w:r>
          </w:p>
        </w:tc>
        <w:tc>
          <w:tcPr>
            <w:tcW w:w="770" w:type="dxa"/>
          </w:tcPr>
          <w:p w14:paraId="5CABEA13" w14:textId="77777777" w:rsidR="005A709C" w:rsidRDefault="00B007F1">
            <w:pPr>
              <w:pStyle w:val="TableParagraph"/>
              <w:ind w:left="78" w:right="74"/>
              <w:jc w:val="center"/>
              <w:rPr>
                <w:sz w:val="16"/>
              </w:rPr>
            </w:pPr>
            <w:r>
              <w:rPr>
                <w:color w:val="000080"/>
                <w:sz w:val="16"/>
              </w:rPr>
              <w:t>9.3%</w:t>
            </w:r>
          </w:p>
        </w:tc>
        <w:tc>
          <w:tcPr>
            <w:tcW w:w="770" w:type="dxa"/>
          </w:tcPr>
          <w:p w14:paraId="4A3FB5B7" w14:textId="77777777" w:rsidR="005A709C" w:rsidRDefault="00B007F1">
            <w:pPr>
              <w:pStyle w:val="TableParagraph"/>
              <w:ind w:left="78" w:right="73"/>
              <w:jc w:val="center"/>
              <w:rPr>
                <w:sz w:val="16"/>
              </w:rPr>
            </w:pPr>
            <w:r>
              <w:rPr>
                <w:color w:val="000080"/>
                <w:sz w:val="16"/>
              </w:rPr>
              <w:t>8.1%</w:t>
            </w:r>
          </w:p>
        </w:tc>
        <w:tc>
          <w:tcPr>
            <w:tcW w:w="770" w:type="dxa"/>
          </w:tcPr>
          <w:p w14:paraId="092B0D05" w14:textId="77777777" w:rsidR="005A709C" w:rsidRDefault="00B007F1">
            <w:pPr>
              <w:pStyle w:val="TableParagraph"/>
              <w:ind w:right="193"/>
              <w:jc w:val="right"/>
              <w:rPr>
                <w:sz w:val="16"/>
              </w:rPr>
            </w:pPr>
            <w:r>
              <w:rPr>
                <w:color w:val="800080"/>
                <w:sz w:val="16"/>
              </w:rPr>
              <w:t>6.1%</w:t>
            </w:r>
          </w:p>
        </w:tc>
        <w:tc>
          <w:tcPr>
            <w:tcW w:w="768" w:type="dxa"/>
          </w:tcPr>
          <w:p w14:paraId="539F1CA2" w14:textId="77777777" w:rsidR="005A709C" w:rsidRDefault="00B007F1">
            <w:pPr>
              <w:pStyle w:val="TableParagraph"/>
              <w:ind w:left="97" w:right="89"/>
              <w:jc w:val="center"/>
              <w:rPr>
                <w:sz w:val="16"/>
              </w:rPr>
            </w:pPr>
            <w:r>
              <w:rPr>
                <w:sz w:val="16"/>
              </w:rPr>
              <w:t>5.4%</w:t>
            </w:r>
          </w:p>
        </w:tc>
      </w:tr>
      <w:tr w:rsidR="005A709C" w14:paraId="23A8BC9F" w14:textId="77777777">
        <w:trPr>
          <w:trHeight w:val="458"/>
        </w:trPr>
        <w:tc>
          <w:tcPr>
            <w:tcW w:w="3840" w:type="dxa"/>
          </w:tcPr>
          <w:p w14:paraId="7CFA3F9C" w14:textId="77777777" w:rsidR="005A709C" w:rsidRDefault="00B007F1">
            <w:pPr>
              <w:pStyle w:val="TableParagraph"/>
              <w:ind w:left="59"/>
              <w:rPr>
                <w:sz w:val="16"/>
              </w:rPr>
            </w:pPr>
            <w:r>
              <w:rPr>
                <w:sz w:val="16"/>
              </w:rPr>
              <w:t>Percentage of residents who have depressive symptoms</w:t>
            </w:r>
          </w:p>
        </w:tc>
        <w:tc>
          <w:tcPr>
            <w:tcW w:w="770" w:type="dxa"/>
          </w:tcPr>
          <w:p w14:paraId="276736B0" w14:textId="77777777" w:rsidR="005A709C" w:rsidRDefault="00B007F1">
            <w:pPr>
              <w:pStyle w:val="TableParagraph"/>
              <w:ind w:right="195"/>
              <w:jc w:val="right"/>
              <w:rPr>
                <w:sz w:val="16"/>
              </w:rPr>
            </w:pPr>
            <w:r>
              <w:rPr>
                <w:color w:val="000080"/>
                <w:sz w:val="16"/>
              </w:rPr>
              <w:t>0.0%</w:t>
            </w:r>
          </w:p>
        </w:tc>
        <w:tc>
          <w:tcPr>
            <w:tcW w:w="770" w:type="dxa"/>
          </w:tcPr>
          <w:p w14:paraId="3DA9D0E2" w14:textId="77777777" w:rsidR="005A709C" w:rsidRDefault="00B007F1">
            <w:pPr>
              <w:pStyle w:val="TableParagraph"/>
              <w:ind w:left="76" w:right="74"/>
              <w:jc w:val="center"/>
              <w:rPr>
                <w:sz w:val="16"/>
              </w:rPr>
            </w:pPr>
            <w:r>
              <w:rPr>
                <w:color w:val="000080"/>
                <w:sz w:val="16"/>
              </w:rPr>
              <w:t>0.0%</w:t>
            </w:r>
          </w:p>
        </w:tc>
        <w:tc>
          <w:tcPr>
            <w:tcW w:w="770" w:type="dxa"/>
          </w:tcPr>
          <w:p w14:paraId="36BF4ADD" w14:textId="77777777" w:rsidR="005A709C" w:rsidRDefault="00B007F1">
            <w:pPr>
              <w:pStyle w:val="TableParagraph"/>
              <w:ind w:left="77" w:right="74"/>
              <w:jc w:val="center"/>
              <w:rPr>
                <w:sz w:val="16"/>
              </w:rPr>
            </w:pPr>
            <w:r>
              <w:rPr>
                <w:color w:val="000080"/>
                <w:sz w:val="16"/>
              </w:rPr>
              <w:t>0.9%</w:t>
            </w:r>
          </w:p>
        </w:tc>
        <w:tc>
          <w:tcPr>
            <w:tcW w:w="770" w:type="dxa"/>
          </w:tcPr>
          <w:p w14:paraId="63A7D52D" w14:textId="77777777" w:rsidR="005A709C" w:rsidRDefault="00B007F1">
            <w:pPr>
              <w:pStyle w:val="TableParagraph"/>
              <w:ind w:left="78" w:right="74"/>
              <w:jc w:val="center"/>
              <w:rPr>
                <w:sz w:val="16"/>
              </w:rPr>
            </w:pPr>
            <w:r>
              <w:rPr>
                <w:color w:val="000080"/>
                <w:sz w:val="16"/>
              </w:rPr>
              <w:t>0.9%</w:t>
            </w:r>
          </w:p>
        </w:tc>
        <w:tc>
          <w:tcPr>
            <w:tcW w:w="770" w:type="dxa"/>
          </w:tcPr>
          <w:p w14:paraId="38AA17D5" w14:textId="77777777" w:rsidR="005A709C" w:rsidRDefault="00B007F1">
            <w:pPr>
              <w:pStyle w:val="TableParagraph"/>
              <w:ind w:left="78" w:right="73"/>
              <w:jc w:val="center"/>
              <w:rPr>
                <w:sz w:val="16"/>
              </w:rPr>
            </w:pPr>
            <w:r>
              <w:rPr>
                <w:color w:val="000080"/>
                <w:sz w:val="16"/>
              </w:rPr>
              <w:t>0.5%</w:t>
            </w:r>
          </w:p>
        </w:tc>
        <w:tc>
          <w:tcPr>
            <w:tcW w:w="770" w:type="dxa"/>
          </w:tcPr>
          <w:p w14:paraId="70612336" w14:textId="77777777" w:rsidR="005A709C" w:rsidRDefault="00B007F1">
            <w:pPr>
              <w:pStyle w:val="TableParagraph"/>
              <w:ind w:right="148"/>
              <w:jc w:val="right"/>
              <w:rPr>
                <w:sz w:val="16"/>
              </w:rPr>
            </w:pPr>
            <w:r>
              <w:rPr>
                <w:color w:val="800080"/>
                <w:sz w:val="16"/>
              </w:rPr>
              <w:t>18.1%</w:t>
            </w:r>
          </w:p>
        </w:tc>
        <w:tc>
          <w:tcPr>
            <w:tcW w:w="768" w:type="dxa"/>
          </w:tcPr>
          <w:p w14:paraId="5990D0D7" w14:textId="77777777" w:rsidR="005A709C" w:rsidRDefault="00B007F1">
            <w:pPr>
              <w:pStyle w:val="TableParagraph"/>
              <w:ind w:left="97" w:right="90"/>
              <w:jc w:val="center"/>
              <w:rPr>
                <w:sz w:val="16"/>
              </w:rPr>
            </w:pPr>
            <w:r>
              <w:rPr>
                <w:sz w:val="16"/>
              </w:rPr>
              <w:t>10.8%</w:t>
            </w:r>
          </w:p>
        </w:tc>
      </w:tr>
      <w:tr w:rsidR="005A709C" w14:paraId="622B7129" w14:textId="77777777">
        <w:trPr>
          <w:trHeight w:val="458"/>
        </w:trPr>
        <w:tc>
          <w:tcPr>
            <w:tcW w:w="3840" w:type="dxa"/>
          </w:tcPr>
          <w:p w14:paraId="1B58E48C" w14:textId="77777777" w:rsidR="005A709C" w:rsidRDefault="00B007F1">
            <w:pPr>
              <w:pStyle w:val="TableParagraph"/>
              <w:ind w:left="59" w:right="149"/>
              <w:rPr>
                <w:sz w:val="16"/>
              </w:rPr>
            </w:pPr>
            <w:r>
              <w:rPr>
                <w:sz w:val="16"/>
              </w:rPr>
              <w:t>Percentage of residents who received an antianxiety or hypnotic medication</w:t>
            </w:r>
          </w:p>
        </w:tc>
        <w:tc>
          <w:tcPr>
            <w:tcW w:w="770" w:type="dxa"/>
          </w:tcPr>
          <w:p w14:paraId="3C449EF5" w14:textId="77777777" w:rsidR="005A709C" w:rsidRDefault="00B007F1">
            <w:pPr>
              <w:pStyle w:val="TableParagraph"/>
              <w:ind w:right="150"/>
              <w:jc w:val="right"/>
              <w:rPr>
                <w:sz w:val="16"/>
              </w:rPr>
            </w:pPr>
            <w:r>
              <w:rPr>
                <w:color w:val="000080"/>
                <w:sz w:val="16"/>
              </w:rPr>
              <w:t>21.5%</w:t>
            </w:r>
          </w:p>
        </w:tc>
        <w:tc>
          <w:tcPr>
            <w:tcW w:w="770" w:type="dxa"/>
          </w:tcPr>
          <w:p w14:paraId="2F92FD83" w14:textId="77777777" w:rsidR="005A709C" w:rsidRDefault="00B007F1">
            <w:pPr>
              <w:pStyle w:val="TableParagraph"/>
              <w:ind w:left="75" w:right="74"/>
              <w:jc w:val="center"/>
              <w:rPr>
                <w:sz w:val="16"/>
              </w:rPr>
            </w:pPr>
            <w:r>
              <w:rPr>
                <w:color w:val="000080"/>
                <w:sz w:val="16"/>
              </w:rPr>
              <w:t>21.1%</w:t>
            </w:r>
          </w:p>
        </w:tc>
        <w:tc>
          <w:tcPr>
            <w:tcW w:w="770" w:type="dxa"/>
          </w:tcPr>
          <w:p w14:paraId="351462A2" w14:textId="77777777" w:rsidR="005A709C" w:rsidRDefault="00B007F1">
            <w:pPr>
              <w:pStyle w:val="TableParagraph"/>
              <w:ind w:left="76" w:right="74"/>
              <w:jc w:val="center"/>
              <w:rPr>
                <w:sz w:val="16"/>
              </w:rPr>
            </w:pPr>
            <w:r>
              <w:rPr>
                <w:color w:val="000080"/>
                <w:sz w:val="16"/>
              </w:rPr>
              <w:t>17.9%</w:t>
            </w:r>
          </w:p>
        </w:tc>
        <w:tc>
          <w:tcPr>
            <w:tcW w:w="770" w:type="dxa"/>
          </w:tcPr>
          <w:p w14:paraId="6A18A4BC" w14:textId="77777777" w:rsidR="005A709C" w:rsidRDefault="00B007F1">
            <w:pPr>
              <w:pStyle w:val="TableParagraph"/>
              <w:ind w:left="77" w:right="74"/>
              <w:jc w:val="center"/>
              <w:rPr>
                <w:sz w:val="16"/>
              </w:rPr>
            </w:pPr>
            <w:r>
              <w:rPr>
                <w:color w:val="000080"/>
                <w:sz w:val="16"/>
              </w:rPr>
              <w:t>18.5%</w:t>
            </w:r>
          </w:p>
        </w:tc>
        <w:tc>
          <w:tcPr>
            <w:tcW w:w="770" w:type="dxa"/>
          </w:tcPr>
          <w:p w14:paraId="4E74AFDD" w14:textId="77777777" w:rsidR="005A709C" w:rsidRDefault="00B007F1">
            <w:pPr>
              <w:pStyle w:val="TableParagraph"/>
              <w:ind w:left="77" w:right="74"/>
              <w:jc w:val="center"/>
              <w:rPr>
                <w:sz w:val="16"/>
              </w:rPr>
            </w:pPr>
            <w:r>
              <w:rPr>
                <w:color w:val="000080"/>
                <w:sz w:val="16"/>
              </w:rPr>
              <w:t>19.7%</w:t>
            </w:r>
          </w:p>
        </w:tc>
        <w:tc>
          <w:tcPr>
            <w:tcW w:w="770" w:type="dxa"/>
          </w:tcPr>
          <w:p w14:paraId="6D8B9CE1" w14:textId="77777777" w:rsidR="005A709C" w:rsidRDefault="00B007F1">
            <w:pPr>
              <w:pStyle w:val="TableParagraph"/>
              <w:ind w:right="148"/>
              <w:jc w:val="right"/>
              <w:rPr>
                <w:sz w:val="16"/>
              </w:rPr>
            </w:pPr>
            <w:r>
              <w:rPr>
                <w:color w:val="800080"/>
                <w:sz w:val="16"/>
              </w:rPr>
              <w:t>13.6%</w:t>
            </w:r>
          </w:p>
        </w:tc>
        <w:tc>
          <w:tcPr>
            <w:tcW w:w="768" w:type="dxa"/>
          </w:tcPr>
          <w:p w14:paraId="200E5DA6" w14:textId="77777777" w:rsidR="005A709C" w:rsidRDefault="00B007F1">
            <w:pPr>
              <w:pStyle w:val="TableParagraph"/>
              <w:ind w:left="97" w:right="90"/>
              <w:jc w:val="center"/>
              <w:rPr>
                <w:sz w:val="16"/>
              </w:rPr>
            </w:pPr>
            <w:r>
              <w:rPr>
                <w:sz w:val="16"/>
              </w:rPr>
              <w:t>19.7%</w:t>
            </w:r>
          </w:p>
        </w:tc>
      </w:tr>
      <w:tr w:rsidR="005A709C" w14:paraId="1A6FCB38" w14:textId="77777777">
        <w:trPr>
          <w:trHeight w:val="273"/>
        </w:trPr>
        <w:tc>
          <w:tcPr>
            <w:tcW w:w="3840" w:type="dxa"/>
          </w:tcPr>
          <w:p w14:paraId="37A11327" w14:textId="77777777" w:rsidR="005A709C" w:rsidRDefault="00B007F1">
            <w:pPr>
              <w:pStyle w:val="TableParagraph"/>
              <w:ind w:left="59"/>
              <w:rPr>
                <w:b/>
                <w:sz w:val="16"/>
              </w:rPr>
            </w:pPr>
            <w:r>
              <w:rPr>
                <w:b/>
                <w:sz w:val="16"/>
              </w:rPr>
              <w:t>MDS Short-Stay Measures</w:t>
            </w:r>
          </w:p>
        </w:tc>
        <w:tc>
          <w:tcPr>
            <w:tcW w:w="770" w:type="dxa"/>
          </w:tcPr>
          <w:p w14:paraId="3968902B" w14:textId="77777777" w:rsidR="005A709C" w:rsidRDefault="005A709C">
            <w:pPr>
              <w:pStyle w:val="TableParagraph"/>
              <w:spacing w:before="0"/>
              <w:rPr>
                <w:rFonts w:ascii="Times New Roman"/>
                <w:sz w:val="16"/>
              </w:rPr>
            </w:pPr>
          </w:p>
        </w:tc>
        <w:tc>
          <w:tcPr>
            <w:tcW w:w="770" w:type="dxa"/>
          </w:tcPr>
          <w:p w14:paraId="7B6F82A8" w14:textId="77777777" w:rsidR="005A709C" w:rsidRDefault="005A709C">
            <w:pPr>
              <w:pStyle w:val="TableParagraph"/>
              <w:spacing w:before="0"/>
              <w:rPr>
                <w:rFonts w:ascii="Times New Roman"/>
                <w:sz w:val="16"/>
              </w:rPr>
            </w:pPr>
          </w:p>
        </w:tc>
        <w:tc>
          <w:tcPr>
            <w:tcW w:w="770" w:type="dxa"/>
          </w:tcPr>
          <w:p w14:paraId="7FF45A58" w14:textId="77777777" w:rsidR="005A709C" w:rsidRDefault="005A709C">
            <w:pPr>
              <w:pStyle w:val="TableParagraph"/>
              <w:spacing w:before="0"/>
              <w:rPr>
                <w:rFonts w:ascii="Times New Roman"/>
                <w:sz w:val="16"/>
              </w:rPr>
            </w:pPr>
          </w:p>
        </w:tc>
        <w:tc>
          <w:tcPr>
            <w:tcW w:w="770" w:type="dxa"/>
          </w:tcPr>
          <w:p w14:paraId="5C3AD0C9" w14:textId="77777777" w:rsidR="005A709C" w:rsidRDefault="005A709C">
            <w:pPr>
              <w:pStyle w:val="TableParagraph"/>
              <w:spacing w:before="0"/>
              <w:rPr>
                <w:rFonts w:ascii="Times New Roman"/>
                <w:sz w:val="16"/>
              </w:rPr>
            </w:pPr>
          </w:p>
        </w:tc>
        <w:tc>
          <w:tcPr>
            <w:tcW w:w="770" w:type="dxa"/>
          </w:tcPr>
          <w:p w14:paraId="5768A1BC" w14:textId="77777777" w:rsidR="005A709C" w:rsidRDefault="005A709C">
            <w:pPr>
              <w:pStyle w:val="TableParagraph"/>
              <w:spacing w:before="0"/>
              <w:rPr>
                <w:rFonts w:ascii="Times New Roman"/>
                <w:sz w:val="16"/>
              </w:rPr>
            </w:pPr>
          </w:p>
        </w:tc>
        <w:tc>
          <w:tcPr>
            <w:tcW w:w="770" w:type="dxa"/>
          </w:tcPr>
          <w:p w14:paraId="641186A8" w14:textId="77777777" w:rsidR="005A709C" w:rsidRDefault="005A709C">
            <w:pPr>
              <w:pStyle w:val="TableParagraph"/>
              <w:spacing w:before="0"/>
              <w:rPr>
                <w:rFonts w:ascii="Times New Roman"/>
                <w:sz w:val="16"/>
              </w:rPr>
            </w:pPr>
          </w:p>
        </w:tc>
        <w:tc>
          <w:tcPr>
            <w:tcW w:w="768" w:type="dxa"/>
          </w:tcPr>
          <w:p w14:paraId="0F67C150" w14:textId="77777777" w:rsidR="005A709C" w:rsidRDefault="005A709C">
            <w:pPr>
              <w:pStyle w:val="TableParagraph"/>
              <w:spacing w:before="0"/>
              <w:rPr>
                <w:rFonts w:ascii="Times New Roman"/>
                <w:sz w:val="16"/>
              </w:rPr>
            </w:pPr>
          </w:p>
        </w:tc>
      </w:tr>
      <w:tr w:rsidR="005A709C" w14:paraId="341F91F9" w14:textId="77777777">
        <w:trPr>
          <w:trHeight w:val="273"/>
        </w:trPr>
        <w:tc>
          <w:tcPr>
            <w:tcW w:w="3840" w:type="dxa"/>
            <w:shd w:val="clear" w:color="auto" w:fill="CCCCCC"/>
          </w:tcPr>
          <w:p w14:paraId="4DD3DCD0" w14:textId="77777777" w:rsidR="005A709C" w:rsidRDefault="00B007F1">
            <w:pPr>
              <w:pStyle w:val="TableParagraph"/>
              <w:ind w:left="59"/>
              <w:rPr>
                <w:i/>
                <w:sz w:val="16"/>
              </w:rPr>
            </w:pPr>
            <w:r>
              <w:rPr>
                <w:i/>
                <w:sz w:val="16"/>
              </w:rPr>
              <w:t>Higher percentages are better.</w:t>
            </w:r>
          </w:p>
        </w:tc>
        <w:tc>
          <w:tcPr>
            <w:tcW w:w="770" w:type="dxa"/>
            <w:shd w:val="clear" w:color="auto" w:fill="CCCCCC"/>
          </w:tcPr>
          <w:p w14:paraId="53CAFD9D" w14:textId="77777777" w:rsidR="005A709C" w:rsidRDefault="005A709C">
            <w:pPr>
              <w:pStyle w:val="TableParagraph"/>
              <w:spacing w:before="0"/>
              <w:rPr>
                <w:rFonts w:ascii="Times New Roman"/>
                <w:sz w:val="16"/>
              </w:rPr>
            </w:pPr>
          </w:p>
        </w:tc>
        <w:tc>
          <w:tcPr>
            <w:tcW w:w="770" w:type="dxa"/>
            <w:shd w:val="clear" w:color="auto" w:fill="CCCCCC"/>
          </w:tcPr>
          <w:p w14:paraId="2D705903" w14:textId="77777777" w:rsidR="005A709C" w:rsidRDefault="005A709C">
            <w:pPr>
              <w:pStyle w:val="TableParagraph"/>
              <w:spacing w:before="0"/>
              <w:rPr>
                <w:rFonts w:ascii="Times New Roman"/>
                <w:sz w:val="16"/>
              </w:rPr>
            </w:pPr>
          </w:p>
        </w:tc>
        <w:tc>
          <w:tcPr>
            <w:tcW w:w="770" w:type="dxa"/>
            <w:shd w:val="clear" w:color="auto" w:fill="CCCCCC"/>
          </w:tcPr>
          <w:p w14:paraId="4A138DEC" w14:textId="77777777" w:rsidR="005A709C" w:rsidRDefault="005A709C">
            <w:pPr>
              <w:pStyle w:val="TableParagraph"/>
              <w:spacing w:before="0"/>
              <w:rPr>
                <w:rFonts w:ascii="Times New Roman"/>
                <w:sz w:val="16"/>
              </w:rPr>
            </w:pPr>
          </w:p>
        </w:tc>
        <w:tc>
          <w:tcPr>
            <w:tcW w:w="770" w:type="dxa"/>
            <w:shd w:val="clear" w:color="auto" w:fill="CCCCCC"/>
          </w:tcPr>
          <w:p w14:paraId="6B387BA9" w14:textId="77777777" w:rsidR="005A709C" w:rsidRDefault="005A709C">
            <w:pPr>
              <w:pStyle w:val="TableParagraph"/>
              <w:spacing w:before="0"/>
              <w:rPr>
                <w:rFonts w:ascii="Times New Roman"/>
                <w:sz w:val="16"/>
              </w:rPr>
            </w:pPr>
          </w:p>
        </w:tc>
        <w:tc>
          <w:tcPr>
            <w:tcW w:w="770" w:type="dxa"/>
            <w:shd w:val="clear" w:color="auto" w:fill="CCCCCC"/>
          </w:tcPr>
          <w:p w14:paraId="70ECF5EE" w14:textId="77777777" w:rsidR="005A709C" w:rsidRDefault="005A709C">
            <w:pPr>
              <w:pStyle w:val="TableParagraph"/>
              <w:spacing w:before="0"/>
              <w:rPr>
                <w:rFonts w:ascii="Times New Roman"/>
                <w:sz w:val="16"/>
              </w:rPr>
            </w:pPr>
          </w:p>
        </w:tc>
        <w:tc>
          <w:tcPr>
            <w:tcW w:w="770" w:type="dxa"/>
            <w:shd w:val="clear" w:color="auto" w:fill="CCCCCC"/>
          </w:tcPr>
          <w:p w14:paraId="4DA3AF42" w14:textId="77777777" w:rsidR="005A709C" w:rsidRDefault="005A709C">
            <w:pPr>
              <w:pStyle w:val="TableParagraph"/>
              <w:spacing w:before="0"/>
              <w:rPr>
                <w:rFonts w:ascii="Times New Roman"/>
                <w:sz w:val="16"/>
              </w:rPr>
            </w:pPr>
          </w:p>
        </w:tc>
        <w:tc>
          <w:tcPr>
            <w:tcW w:w="768" w:type="dxa"/>
            <w:shd w:val="clear" w:color="auto" w:fill="CCCCCC"/>
          </w:tcPr>
          <w:p w14:paraId="1B87644D" w14:textId="77777777" w:rsidR="005A709C" w:rsidRDefault="005A709C">
            <w:pPr>
              <w:pStyle w:val="TableParagraph"/>
              <w:spacing w:before="0"/>
              <w:rPr>
                <w:rFonts w:ascii="Times New Roman"/>
                <w:sz w:val="16"/>
              </w:rPr>
            </w:pPr>
          </w:p>
        </w:tc>
      </w:tr>
      <w:tr w:rsidR="005A709C" w14:paraId="4C1B1907" w14:textId="77777777">
        <w:trPr>
          <w:trHeight w:val="827"/>
        </w:trPr>
        <w:tc>
          <w:tcPr>
            <w:tcW w:w="3840" w:type="dxa"/>
          </w:tcPr>
          <w:p w14:paraId="3A2FD98B" w14:textId="77777777" w:rsidR="005A709C" w:rsidRDefault="00B007F1">
            <w:pPr>
              <w:pStyle w:val="TableParagraph"/>
              <w:ind w:left="59" w:right="115"/>
              <w:rPr>
                <w:sz w:val="16"/>
              </w:rPr>
            </w:pPr>
            <w:r>
              <w:rPr>
                <w:sz w:val="16"/>
              </w:rPr>
              <w:t>Percentage of residents assessed and appropriately given the seasonal influenza vaccine. The time period for data used in reporting is 07/01/2024 through</w:t>
            </w:r>
            <w:r>
              <w:rPr>
                <w:spacing w:val="1"/>
                <w:sz w:val="16"/>
              </w:rPr>
              <w:t xml:space="preserve"> </w:t>
            </w:r>
            <w:r>
              <w:rPr>
                <w:sz w:val="16"/>
              </w:rPr>
              <w:t>06/30/2025</w:t>
            </w:r>
          </w:p>
        </w:tc>
        <w:tc>
          <w:tcPr>
            <w:tcW w:w="770" w:type="dxa"/>
            <w:shd w:val="clear" w:color="auto" w:fill="CCCCCC"/>
          </w:tcPr>
          <w:p w14:paraId="58B98C66" w14:textId="77777777" w:rsidR="005A709C" w:rsidRDefault="005A709C">
            <w:pPr>
              <w:pStyle w:val="TableParagraph"/>
              <w:spacing w:before="0"/>
              <w:rPr>
                <w:rFonts w:ascii="Times New Roman"/>
                <w:sz w:val="16"/>
              </w:rPr>
            </w:pPr>
          </w:p>
        </w:tc>
        <w:tc>
          <w:tcPr>
            <w:tcW w:w="770" w:type="dxa"/>
            <w:shd w:val="clear" w:color="auto" w:fill="CCCCCC"/>
          </w:tcPr>
          <w:p w14:paraId="614C1C44" w14:textId="77777777" w:rsidR="005A709C" w:rsidRDefault="005A709C">
            <w:pPr>
              <w:pStyle w:val="TableParagraph"/>
              <w:spacing w:before="0"/>
              <w:rPr>
                <w:rFonts w:ascii="Times New Roman"/>
                <w:sz w:val="16"/>
              </w:rPr>
            </w:pPr>
          </w:p>
        </w:tc>
        <w:tc>
          <w:tcPr>
            <w:tcW w:w="770" w:type="dxa"/>
            <w:shd w:val="clear" w:color="auto" w:fill="CCCCCC"/>
          </w:tcPr>
          <w:p w14:paraId="3FE5362B" w14:textId="77777777" w:rsidR="005A709C" w:rsidRDefault="005A709C">
            <w:pPr>
              <w:pStyle w:val="TableParagraph"/>
              <w:spacing w:before="0"/>
              <w:rPr>
                <w:rFonts w:ascii="Times New Roman"/>
                <w:sz w:val="16"/>
              </w:rPr>
            </w:pPr>
          </w:p>
        </w:tc>
        <w:tc>
          <w:tcPr>
            <w:tcW w:w="770" w:type="dxa"/>
            <w:shd w:val="clear" w:color="auto" w:fill="CCCCCC"/>
          </w:tcPr>
          <w:p w14:paraId="575BE4D0" w14:textId="77777777" w:rsidR="005A709C" w:rsidRDefault="005A709C">
            <w:pPr>
              <w:pStyle w:val="TableParagraph"/>
              <w:spacing w:before="0"/>
              <w:rPr>
                <w:rFonts w:ascii="Times New Roman"/>
                <w:sz w:val="16"/>
              </w:rPr>
            </w:pPr>
          </w:p>
        </w:tc>
        <w:tc>
          <w:tcPr>
            <w:tcW w:w="770" w:type="dxa"/>
          </w:tcPr>
          <w:p w14:paraId="7B65ED8E" w14:textId="77777777" w:rsidR="005A709C" w:rsidRDefault="00B007F1">
            <w:pPr>
              <w:pStyle w:val="TableParagraph"/>
              <w:ind w:left="77" w:right="74"/>
              <w:jc w:val="center"/>
              <w:rPr>
                <w:sz w:val="16"/>
              </w:rPr>
            </w:pPr>
            <w:r>
              <w:rPr>
                <w:color w:val="000080"/>
                <w:sz w:val="16"/>
              </w:rPr>
              <w:t>91.4%</w:t>
            </w:r>
          </w:p>
        </w:tc>
        <w:tc>
          <w:tcPr>
            <w:tcW w:w="770" w:type="dxa"/>
          </w:tcPr>
          <w:p w14:paraId="1057534E" w14:textId="77777777" w:rsidR="005A709C" w:rsidRDefault="00B007F1">
            <w:pPr>
              <w:pStyle w:val="TableParagraph"/>
              <w:ind w:right="148"/>
              <w:jc w:val="right"/>
              <w:rPr>
                <w:sz w:val="16"/>
              </w:rPr>
            </w:pPr>
            <w:r>
              <w:rPr>
                <w:color w:val="800080"/>
                <w:sz w:val="16"/>
              </w:rPr>
              <w:t>78.8%</w:t>
            </w:r>
          </w:p>
        </w:tc>
        <w:tc>
          <w:tcPr>
            <w:tcW w:w="768" w:type="dxa"/>
          </w:tcPr>
          <w:p w14:paraId="01238E6A" w14:textId="77777777" w:rsidR="005A709C" w:rsidRDefault="00B007F1">
            <w:pPr>
              <w:pStyle w:val="TableParagraph"/>
              <w:ind w:left="97" w:right="90"/>
              <w:jc w:val="center"/>
              <w:rPr>
                <w:sz w:val="16"/>
              </w:rPr>
            </w:pPr>
            <w:r>
              <w:rPr>
                <w:sz w:val="16"/>
              </w:rPr>
              <w:t>79.7%</w:t>
            </w:r>
          </w:p>
        </w:tc>
      </w:tr>
      <w:tr w:rsidR="005A709C" w14:paraId="6279B3C0" w14:textId="77777777">
        <w:trPr>
          <w:trHeight w:val="458"/>
        </w:trPr>
        <w:tc>
          <w:tcPr>
            <w:tcW w:w="3840" w:type="dxa"/>
          </w:tcPr>
          <w:p w14:paraId="469BF4F0" w14:textId="77777777" w:rsidR="005A709C" w:rsidRDefault="00B007F1">
            <w:pPr>
              <w:pStyle w:val="TableParagraph"/>
              <w:ind w:left="59" w:right="149"/>
              <w:rPr>
                <w:sz w:val="16"/>
              </w:rPr>
            </w:pPr>
            <w:r>
              <w:rPr>
                <w:sz w:val="16"/>
              </w:rPr>
              <w:t>Percentage of residents assessed and appropriately given the pneumococcal vaccine</w:t>
            </w:r>
          </w:p>
        </w:tc>
        <w:tc>
          <w:tcPr>
            <w:tcW w:w="770" w:type="dxa"/>
          </w:tcPr>
          <w:p w14:paraId="681086DB" w14:textId="77777777" w:rsidR="005A709C" w:rsidRDefault="00B007F1">
            <w:pPr>
              <w:pStyle w:val="TableParagraph"/>
              <w:ind w:right="150"/>
              <w:jc w:val="right"/>
              <w:rPr>
                <w:sz w:val="16"/>
              </w:rPr>
            </w:pPr>
            <w:r>
              <w:rPr>
                <w:color w:val="000080"/>
                <w:sz w:val="16"/>
              </w:rPr>
              <w:t>88.9%</w:t>
            </w:r>
          </w:p>
        </w:tc>
        <w:tc>
          <w:tcPr>
            <w:tcW w:w="770" w:type="dxa"/>
          </w:tcPr>
          <w:p w14:paraId="5D12806F" w14:textId="77777777" w:rsidR="005A709C" w:rsidRDefault="00B007F1">
            <w:pPr>
              <w:pStyle w:val="TableParagraph"/>
              <w:ind w:left="75" w:right="74"/>
              <w:jc w:val="center"/>
              <w:rPr>
                <w:sz w:val="16"/>
              </w:rPr>
            </w:pPr>
            <w:r>
              <w:rPr>
                <w:color w:val="000080"/>
                <w:sz w:val="16"/>
              </w:rPr>
              <w:t>94.4%</w:t>
            </w:r>
          </w:p>
        </w:tc>
        <w:tc>
          <w:tcPr>
            <w:tcW w:w="770" w:type="dxa"/>
          </w:tcPr>
          <w:p w14:paraId="29D60C59" w14:textId="77777777" w:rsidR="005A709C" w:rsidRDefault="00B007F1">
            <w:pPr>
              <w:pStyle w:val="TableParagraph"/>
              <w:ind w:left="78" w:right="73"/>
              <w:jc w:val="center"/>
              <w:rPr>
                <w:sz w:val="16"/>
              </w:rPr>
            </w:pPr>
            <w:r>
              <w:rPr>
                <w:color w:val="000080"/>
                <w:sz w:val="16"/>
              </w:rPr>
              <w:t>100%</w:t>
            </w:r>
          </w:p>
        </w:tc>
        <w:tc>
          <w:tcPr>
            <w:tcW w:w="770" w:type="dxa"/>
          </w:tcPr>
          <w:p w14:paraId="13A48D00" w14:textId="77777777" w:rsidR="005A709C" w:rsidRDefault="00B007F1">
            <w:pPr>
              <w:pStyle w:val="TableParagraph"/>
              <w:ind w:left="77" w:right="74"/>
              <w:jc w:val="center"/>
              <w:rPr>
                <w:sz w:val="16"/>
              </w:rPr>
            </w:pPr>
            <w:r>
              <w:rPr>
                <w:color w:val="000080"/>
                <w:sz w:val="16"/>
              </w:rPr>
              <w:t>97.4%</w:t>
            </w:r>
          </w:p>
        </w:tc>
        <w:tc>
          <w:tcPr>
            <w:tcW w:w="770" w:type="dxa"/>
          </w:tcPr>
          <w:p w14:paraId="2AC1E43C" w14:textId="77777777" w:rsidR="005A709C" w:rsidRDefault="00B007F1">
            <w:pPr>
              <w:pStyle w:val="TableParagraph"/>
              <w:ind w:left="77" w:right="74"/>
              <w:jc w:val="center"/>
              <w:rPr>
                <w:sz w:val="16"/>
              </w:rPr>
            </w:pPr>
            <w:r>
              <w:rPr>
                <w:color w:val="000080"/>
                <w:sz w:val="16"/>
              </w:rPr>
              <w:t>95.1%</w:t>
            </w:r>
          </w:p>
        </w:tc>
        <w:tc>
          <w:tcPr>
            <w:tcW w:w="770" w:type="dxa"/>
          </w:tcPr>
          <w:p w14:paraId="6B5DA437" w14:textId="77777777" w:rsidR="005A709C" w:rsidRDefault="00B007F1">
            <w:pPr>
              <w:pStyle w:val="TableParagraph"/>
              <w:ind w:right="148"/>
              <w:jc w:val="right"/>
              <w:rPr>
                <w:sz w:val="16"/>
              </w:rPr>
            </w:pPr>
            <w:r>
              <w:rPr>
                <w:color w:val="800080"/>
                <w:sz w:val="16"/>
              </w:rPr>
              <w:t>76.7%</w:t>
            </w:r>
          </w:p>
        </w:tc>
        <w:tc>
          <w:tcPr>
            <w:tcW w:w="768" w:type="dxa"/>
          </w:tcPr>
          <w:p w14:paraId="0271CAB2" w14:textId="77777777" w:rsidR="005A709C" w:rsidRDefault="00B007F1">
            <w:pPr>
              <w:pStyle w:val="TableParagraph"/>
              <w:ind w:left="97" w:right="90"/>
              <w:jc w:val="center"/>
              <w:rPr>
                <w:sz w:val="16"/>
              </w:rPr>
            </w:pPr>
            <w:r>
              <w:rPr>
                <w:sz w:val="16"/>
              </w:rPr>
              <w:t>81.7%</w:t>
            </w:r>
          </w:p>
        </w:tc>
      </w:tr>
    </w:tbl>
    <w:p w14:paraId="71F1C995" w14:textId="77777777" w:rsidR="005A709C" w:rsidRDefault="005A709C">
      <w:pPr>
        <w:pStyle w:val="BodyText"/>
        <w:spacing w:before="7"/>
        <w:rPr>
          <w:b/>
          <w:sz w:val="18"/>
        </w:rPr>
      </w:pPr>
    </w:p>
    <w:p w14:paraId="63CF3B22" w14:textId="77777777" w:rsidR="005A709C" w:rsidRDefault="00B007F1">
      <w:pPr>
        <w:ind w:left="197"/>
        <w:rPr>
          <w:b/>
          <w:sz w:val="16"/>
        </w:rPr>
      </w:pPr>
      <w:r>
        <w:rPr>
          <w:b/>
          <w:sz w:val="16"/>
        </w:rPr>
        <w:t>Additional Notes Regarding the Quality Measure Tables</w:t>
      </w:r>
    </w:p>
    <w:p w14:paraId="201C77AC" w14:textId="77777777" w:rsidR="005A709C" w:rsidRDefault="005A709C">
      <w:pPr>
        <w:pStyle w:val="BodyText"/>
        <w:spacing w:before="5"/>
        <w:rPr>
          <w:b/>
          <w:sz w:val="16"/>
        </w:rPr>
      </w:pPr>
    </w:p>
    <w:p w14:paraId="7F27BFAC" w14:textId="77777777" w:rsidR="005A709C" w:rsidRDefault="00B007F1">
      <w:pPr>
        <w:ind w:left="197" w:right="488"/>
        <w:rPr>
          <w:sz w:val="18"/>
        </w:rPr>
      </w:pPr>
      <w:r>
        <w:rPr>
          <w:sz w:val="18"/>
        </w:rPr>
        <w:t>"d&lt;20" means the denominator (number of eligible resident assessments) for the measure summed across all four quarters is less than 20. If sufficient data are available for imputation, a four-quarter average is displayed. This value is used in calculating the QM points and used in the QM rating calculation but will not be displayed on Care Compare.</w:t>
      </w:r>
    </w:p>
    <w:p w14:paraId="32F1208C" w14:textId="77777777" w:rsidR="005A709C" w:rsidRDefault="005A709C">
      <w:pPr>
        <w:pStyle w:val="BodyText"/>
        <w:spacing w:before="10"/>
        <w:rPr>
          <w:sz w:val="15"/>
        </w:rPr>
      </w:pPr>
    </w:p>
    <w:p w14:paraId="677A6676" w14:textId="77777777" w:rsidR="005A709C" w:rsidRDefault="00B007F1">
      <w:pPr>
        <w:ind w:left="197" w:right="448"/>
        <w:rPr>
          <w:sz w:val="18"/>
        </w:rPr>
      </w:pPr>
      <w:r>
        <w:rPr>
          <w:sz w:val="18"/>
        </w:rPr>
        <w:t>"NA" is reported one of three reasons: 1) data are not available; 2) the denominator (number of eligible resident assessments or stays) summed across the four quarters is less than 20 and there are not sufficient data for imputation; or 3) too few measures have an adequate denominator to calculate a rating.</w:t>
      </w:r>
    </w:p>
    <w:p w14:paraId="5DB9A145" w14:textId="77777777" w:rsidR="005A709C" w:rsidRDefault="005A709C">
      <w:pPr>
        <w:pStyle w:val="BodyText"/>
        <w:spacing w:before="11"/>
        <w:rPr>
          <w:sz w:val="15"/>
        </w:rPr>
      </w:pPr>
    </w:p>
    <w:p w14:paraId="356CBD31" w14:textId="77777777" w:rsidR="005A709C" w:rsidRDefault="00B007F1">
      <w:pPr>
        <w:ind w:left="197" w:right="417"/>
        <w:rPr>
          <w:sz w:val="18"/>
        </w:rPr>
      </w:pPr>
      <w:r>
        <w:rPr>
          <w:sz w:val="18"/>
        </w:rPr>
        <w:t>If the denominator for a measure is less than 20 in an individual quarter, the data may be displayed here, but will not be included in the MDS Quality Measures file on PDC.</w:t>
      </w:r>
    </w:p>
    <w:p w14:paraId="27A2D493" w14:textId="77777777" w:rsidR="005A709C" w:rsidRDefault="005A709C">
      <w:pPr>
        <w:pStyle w:val="BodyText"/>
        <w:spacing w:before="10"/>
        <w:rPr>
          <w:sz w:val="22"/>
        </w:rPr>
      </w:pPr>
    </w:p>
    <w:p w14:paraId="2CC1C1BA" w14:textId="77777777" w:rsidR="005A709C" w:rsidRDefault="00B007F1">
      <w:pPr>
        <w:pStyle w:val="Heading3"/>
      </w:pPr>
      <w:r>
        <w:t>SNF Quality Reporting Program (QRP) Measures:</w:t>
      </w:r>
    </w:p>
    <w:p w14:paraId="2031CA7F" w14:textId="77777777" w:rsidR="005A709C" w:rsidRDefault="00B007F1">
      <w:pPr>
        <w:pStyle w:val="BodyText"/>
        <w:spacing w:before="188"/>
        <w:ind w:left="197" w:right="654"/>
      </w:pPr>
      <w:r>
        <w:t>Three of the short-stay QMs used in the Five-Star QM rating calculation are SNF QRP measures: "Percentage of SNF residents with pressure ulcers/pressure injuries that are new or worsened", "Percentage of SNF residents who are at or above an expected ability to care for themselves and move around at discharge", and "Rate of successful return to home or community from a SNF". There are additional SNF QRP measures that are not included in the Five-Star ratings but are displayed on Care Compare. Information abo</w:t>
      </w:r>
      <w:r>
        <w:t>ut these measures can be found on separate provider preview reports in the IQIES mailbox. Please watch for communication from CMS on the availability of these reports. Additional information about the SNF QRP measures can be found in the Quality of Resident Care section on the References page of this report.</w:t>
      </w:r>
    </w:p>
    <w:p w14:paraId="31324061" w14:textId="77777777" w:rsidR="005A709C" w:rsidRDefault="005A709C">
      <w:pPr>
        <w:sectPr w:rsidR="005A709C">
          <w:pgSz w:w="12240" w:h="15840"/>
          <w:pgMar w:top="1020" w:right="1120" w:bottom="280" w:left="1000" w:header="805" w:footer="0" w:gutter="0"/>
          <w:cols w:space="720"/>
        </w:sectPr>
      </w:pPr>
    </w:p>
    <w:p w14:paraId="6FDCA5B2" w14:textId="77777777" w:rsidR="005A709C" w:rsidRDefault="005A709C">
      <w:pPr>
        <w:pStyle w:val="BodyText"/>
        <w:spacing w:before="2"/>
        <w:rPr>
          <w:sz w:val="14"/>
        </w:rPr>
      </w:pPr>
    </w:p>
    <w:p w14:paraId="7ECDA368" w14:textId="77777777" w:rsidR="005A709C" w:rsidRDefault="00B007F1">
      <w:pPr>
        <w:pStyle w:val="Heading1"/>
      </w:pPr>
      <w:r>
        <w:t>Staffing Hours per Resident Day</w:t>
      </w:r>
    </w:p>
    <w:p w14:paraId="3202D5D4" w14:textId="77777777" w:rsidR="005A709C" w:rsidRDefault="00B007F1">
      <w:pPr>
        <w:pStyle w:val="BodyText"/>
        <w:spacing w:before="218"/>
        <w:ind w:left="197" w:right="490"/>
      </w:pPr>
      <w:r>
        <w:t xml:space="preserve">PBJ data for </w:t>
      </w:r>
      <w:r>
        <w:rPr>
          <w:b/>
        </w:rPr>
        <w:t xml:space="preserve">April 1 - June 30, 2025 </w:t>
      </w:r>
      <w:r>
        <w:t xml:space="preserve">(submitted and accepted by the August 14, 2025 deadline) are being used to calculate the staffing levels for three months starting with the </w:t>
      </w:r>
      <w:r>
        <w:rPr>
          <w:b/>
        </w:rPr>
        <w:t xml:space="preserve">October 2025 </w:t>
      </w:r>
      <w:r>
        <w:t xml:space="preserve">Care Compare website update. The table below includes the reported, case-mix and adjusted staffing levels for your facility, using the PBJ data for </w:t>
      </w:r>
      <w:r>
        <w:rPr>
          <w:b/>
        </w:rPr>
        <w:t xml:space="preserve">April 1 - June 30, 2025. </w:t>
      </w:r>
      <w:r>
        <w:t>The case-mix staffing values are based on resident acuity levels using the nursing Case-mix Groups and corresponding nursing Case-mix Indexes from the Patient-Dri</w:t>
      </w:r>
      <w:r>
        <w:t>ven Payment Model (PDPM). The Five-Star Rating Technical Users' Guide contains a detailed explanation of the staffing rating and the case-mix adjustment methodology. The table also shows the weekend staffing levels (total nurse and RN) for your facility. Below the table is the average resident census for your facility, as well as details for calculating case-mix and adjusted staffing values.</w:t>
      </w:r>
    </w:p>
    <w:p w14:paraId="31D1E209" w14:textId="77777777" w:rsidR="005A709C" w:rsidRDefault="005A709C">
      <w:pPr>
        <w:pStyle w:val="BodyText"/>
      </w:pPr>
    </w:p>
    <w:tbl>
      <w:tblPr>
        <w:tblW w:w="0" w:type="auto"/>
        <w:tblInd w:w="171"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2042"/>
        <w:gridCol w:w="1250"/>
        <w:gridCol w:w="1250"/>
        <w:gridCol w:w="1250"/>
        <w:gridCol w:w="1250"/>
        <w:gridCol w:w="1250"/>
        <w:gridCol w:w="1248"/>
      </w:tblGrid>
      <w:tr w:rsidR="005A709C" w14:paraId="37877E57" w14:textId="77777777">
        <w:trPr>
          <w:trHeight w:val="306"/>
        </w:trPr>
        <w:tc>
          <w:tcPr>
            <w:tcW w:w="9540" w:type="dxa"/>
            <w:gridSpan w:val="7"/>
          </w:tcPr>
          <w:p w14:paraId="5BD939B3" w14:textId="77777777" w:rsidR="005A709C" w:rsidRDefault="00B007F1">
            <w:pPr>
              <w:pStyle w:val="TableParagraph"/>
              <w:spacing w:before="17"/>
              <w:ind w:left="1436" w:right="1434"/>
              <w:jc w:val="center"/>
              <w:rPr>
                <w:b/>
                <w:sz w:val="20"/>
              </w:rPr>
            </w:pPr>
            <w:r>
              <w:rPr>
                <w:b/>
                <w:sz w:val="20"/>
              </w:rPr>
              <w:t xml:space="preserve">Staffing Levels for April 1 - June 30, 2025 for Provider Number </w:t>
            </w:r>
            <w:r>
              <w:rPr>
                <w:b/>
                <w:color w:val="000080"/>
                <w:sz w:val="20"/>
              </w:rPr>
              <w:t>335127</w:t>
            </w:r>
          </w:p>
        </w:tc>
      </w:tr>
      <w:tr w:rsidR="005A709C" w14:paraId="27F5A7FE" w14:textId="77777777">
        <w:trPr>
          <w:trHeight w:val="1142"/>
        </w:trPr>
        <w:tc>
          <w:tcPr>
            <w:tcW w:w="2042" w:type="dxa"/>
          </w:tcPr>
          <w:p w14:paraId="6406A22D" w14:textId="77777777" w:rsidR="005A709C" w:rsidRDefault="005A709C">
            <w:pPr>
              <w:pStyle w:val="TableParagraph"/>
              <w:spacing w:before="0"/>
              <w:rPr>
                <w:rFonts w:ascii="Times New Roman"/>
                <w:sz w:val="18"/>
              </w:rPr>
            </w:pPr>
          </w:p>
        </w:tc>
        <w:tc>
          <w:tcPr>
            <w:tcW w:w="1250" w:type="dxa"/>
          </w:tcPr>
          <w:p w14:paraId="6D8878A1" w14:textId="77777777" w:rsidR="005A709C" w:rsidRDefault="005A709C">
            <w:pPr>
              <w:pStyle w:val="TableParagraph"/>
              <w:spacing w:before="5"/>
              <w:rPr>
                <w:sz w:val="20"/>
              </w:rPr>
            </w:pPr>
          </w:p>
          <w:p w14:paraId="2788A1FD" w14:textId="77777777" w:rsidR="005A709C" w:rsidRDefault="00B007F1">
            <w:pPr>
              <w:pStyle w:val="TableParagraph"/>
              <w:spacing w:before="0" w:line="247" w:lineRule="auto"/>
              <w:ind w:left="79" w:right="73" w:hanging="3"/>
              <w:jc w:val="center"/>
              <w:rPr>
                <w:b/>
                <w:sz w:val="18"/>
              </w:rPr>
            </w:pPr>
            <w:r>
              <w:rPr>
                <w:b/>
                <w:sz w:val="18"/>
              </w:rPr>
              <w:t>Reported Hours per Resident per Day (HRD)</w:t>
            </w:r>
          </w:p>
        </w:tc>
        <w:tc>
          <w:tcPr>
            <w:tcW w:w="1250" w:type="dxa"/>
          </w:tcPr>
          <w:p w14:paraId="3FBB3729" w14:textId="77777777" w:rsidR="005A709C" w:rsidRDefault="005A709C">
            <w:pPr>
              <w:pStyle w:val="TableParagraph"/>
              <w:spacing w:before="0"/>
              <w:rPr>
                <w:sz w:val="20"/>
              </w:rPr>
            </w:pPr>
          </w:p>
          <w:p w14:paraId="0C3FE7FB" w14:textId="77777777" w:rsidR="005A709C" w:rsidRDefault="005A709C">
            <w:pPr>
              <w:pStyle w:val="TableParagraph"/>
              <w:spacing w:before="0"/>
              <w:rPr>
                <w:sz w:val="19"/>
              </w:rPr>
            </w:pPr>
          </w:p>
          <w:p w14:paraId="0AB3319F" w14:textId="77777777" w:rsidR="005A709C" w:rsidRDefault="00B007F1">
            <w:pPr>
              <w:pStyle w:val="TableParagraph"/>
              <w:spacing w:before="0" w:line="247" w:lineRule="auto"/>
              <w:ind w:left="198" w:right="194"/>
              <w:jc w:val="center"/>
              <w:rPr>
                <w:b/>
                <w:sz w:val="18"/>
              </w:rPr>
            </w:pPr>
            <w:r>
              <w:rPr>
                <w:b/>
                <w:sz w:val="18"/>
              </w:rPr>
              <w:t>Reported HRD</w:t>
            </w:r>
          </w:p>
          <w:p w14:paraId="17836566" w14:textId="77777777" w:rsidR="005A709C" w:rsidRDefault="00B007F1">
            <w:pPr>
              <w:pStyle w:val="TableParagraph"/>
              <w:spacing w:before="1"/>
              <w:ind w:left="198" w:right="195"/>
              <w:jc w:val="center"/>
              <w:rPr>
                <w:b/>
                <w:sz w:val="18"/>
              </w:rPr>
            </w:pPr>
            <w:r>
              <w:rPr>
                <w:b/>
                <w:sz w:val="18"/>
              </w:rPr>
              <w:t>(Decimal)</w:t>
            </w:r>
          </w:p>
        </w:tc>
        <w:tc>
          <w:tcPr>
            <w:tcW w:w="1250" w:type="dxa"/>
          </w:tcPr>
          <w:p w14:paraId="26D5BC38" w14:textId="77777777" w:rsidR="005A709C" w:rsidRDefault="00B007F1">
            <w:pPr>
              <w:pStyle w:val="TableParagraph"/>
              <w:spacing w:before="22" w:line="247" w:lineRule="auto"/>
              <w:ind w:left="229" w:right="223" w:firstLine="1"/>
              <w:jc w:val="center"/>
              <w:rPr>
                <w:b/>
                <w:sz w:val="18"/>
              </w:rPr>
            </w:pPr>
            <w:r>
              <w:rPr>
                <w:b/>
                <w:sz w:val="18"/>
              </w:rPr>
              <w:t>National Average: Reported HRD</w:t>
            </w:r>
          </w:p>
          <w:p w14:paraId="70A272BA" w14:textId="77777777" w:rsidR="005A709C" w:rsidRDefault="00B007F1">
            <w:pPr>
              <w:pStyle w:val="TableParagraph"/>
              <w:spacing w:before="1"/>
              <w:ind w:left="198" w:right="194"/>
              <w:jc w:val="center"/>
              <w:rPr>
                <w:b/>
                <w:sz w:val="18"/>
              </w:rPr>
            </w:pPr>
            <w:r>
              <w:rPr>
                <w:b/>
                <w:sz w:val="18"/>
              </w:rPr>
              <w:t>(Decimal)</w:t>
            </w:r>
          </w:p>
        </w:tc>
        <w:tc>
          <w:tcPr>
            <w:tcW w:w="1250" w:type="dxa"/>
          </w:tcPr>
          <w:p w14:paraId="2318473A" w14:textId="77777777" w:rsidR="005A709C" w:rsidRDefault="005A709C">
            <w:pPr>
              <w:pStyle w:val="TableParagraph"/>
              <w:spacing w:before="0"/>
              <w:rPr>
                <w:sz w:val="20"/>
              </w:rPr>
            </w:pPr>
          </w:p>
          <w:p w14:paraId="75714712" w14:textId="77777777" w:rsidR="005A709C" w:rsidRDefault="005A709C">
            <w:pPr>
              <w:pStyle w:val="TableParagraph"/>
              <w:spacing w:before="0"/>
              <w:rPr>
                <w:sz w:val="20"/>
              </w:rPr>
            </w:pPr>
          </w:p>
          <w:p w14:paraId="15C076ED" w14:textId="77777777" w:rsidR="005A709C" w:rsidRDefault="005A709C">
            <w:pPr>
              <w:pStyle w:val="TableParagraph"/>
              <w:spacing w:before="7"/>
              <w:rPr>
                <w:sz w:val="17"/>
              </w:rPr>
            </w:pPr>
          </w:p>
          <w:p w14:paraId="139F1F78" w14:textId="77777777" w:rsidR="005A709C" w:rsidRDefault="00B007F1">
            <w:pPr>
              <w:pStyle w:val="TableParagraph"/>
              <w:spacing w:before="0" w:line="247" w:lineRule="auto"/>
              <w:ind w:left="431" w:right="205" w:hanging="202"/>
              <w:rPr>
                <w:b/>
                <w:sz w:val="18"/>
              </w:rPr>
            </w:pPr>
            <w:r>
              <w:rPr>
                <w:b/>
                <w:sz w:val="18"/>
              </w:rPr>
              <w:t>Case-Mix HRD</w:t>
            </w:r>
          </w:p>
        </w:tc>
        <w:tc>
          <w:tcPr>
            <w:tcW w:w="1250" w:type="dxa"/>
          </w:tcPr>
          <w:p w14:paraId="5A86E900" w14:textId="77777777" w:rsidR="005A709C" w:rsidRDefault="005A709C">
            <w:pPr>
              <w:pStyle w:val="TableParagraph"/>
              <w:spacing w:before="5"/>
              <w:rPr>
                <w:sz w:val="20"/>
              </w:rPr>
            </w:pPr>
          </w:p>
          <w:p w14:paraId="04A59DDD" w14:textId="77777777" w:rsidR="005A709C" w:rsidRDefault="00B007F1">
            <w:pPr>
              <w:pStyle w:val="TableParagraph"/>
              <w:spacing w:before="0" w:line="247" w:lineRule="auto"/>
              <w:ind w:left="229" w:right="222" w:firstLine="1"/>
              <w:jc w:val="center"/>
              <w:rPr>
                <w:b/>
                <w:sz w:val="18"/>
              </w:rPr>
            </w:pPr>
            <w:r>
              <w:rPr>
                <w:b/>
                <w:sz w:val="18"/>
              </w:rPr>
              <w:t>National Average: Case-Mix HRD</w:t>
            </w:r>
          </w:p>
        </w:tc>
        <w:tc>
          <w:tcPr>
            <w:tcW w:w="1248" w:type="dxa"/>
          </w:tcPr>
          <w:p w14:paraId="60A5DA3C" w14:textId="77777777" w:rsidR="005A709C" w:rsidRDefault="005A709C">
            <w:pPr>
              <w:pStyle w:val="TableParagraph"/>
              <w:spacing w:before="0"/>
              <w:rPr>
                <w:sz w:val="20"/>
              </w:rPr>
            </w:pPr>
          </w:p>
          <w:p w14:paraId="55B21D6A" w14:textId="77777777" w:rsidR="005A709C" w:rsidRDefault="005A709C">
            <w:pPr>
              <w:pStyle w:val="TableParagraph"/>
              <w:spacing w:before="0"/>
              <w:rPr>
                <w:sz w:val="19"/>
              </w:rPr>
            </w:pPr>
          </w:p>
          <w:p w14:paraId="2D1F61BF" w14:textId="77777777" w:rsidR="005A709C" w:rsidRDefault="00B007F1">
            <w:pPr>
              <w:pStyle w:val="TableParagraph"/>
              <w:spacing w:before="0" w:line="247" w:lineRule="auto"/>
              <w:ind w:left="230" w:right="220"/>
              <w:jc w:val="center"/>
              <w:rPr>
                <w:b/>
                <w:sz w:val="18"/>
              </w:rPr>
            </w:pPr>
            <w:r>
              <w:rPr>
                <w:b/>
                <w:sz w:val="18"/>
              </w:rPr>
              <w:t>Case-Mix Adjusted HRD</w:t>
            </w:r>
          </w:p>
        </w:tc>
      </w:tr>
      <w:tr w:rsidR="005A709C" w14:paraId="2C8AC151" w14:textId="77777777">
        <w:trPr>
          <w:trHeight w:val="307"/>
        </w:trPr>
        <w:tc>
          <w:tcPr>
            <w:tcW w:w="2042" w:type="dxa"/>
            <w:shd w:val="clear" w:color="auto" w:fill="CCCCCC"/>
          </w:tcPr>
          <w:p w14:paraId="163A7951" w14:textId="77777777" w:rsidR="005A709C" w:rsidRDefault="00B007F1">
            <w:pPr>
              <w:pStyle w:val="TableParagraph"/>
              <w:spacing w:before="17"/>
              <w:ind w:left="59"/>
              <w:rPr>
                <w:b/>
                <w:sz w:val="20"/>
              </w:rPr>
            </w:pPr>
            <w:r>
              <w:rPr>
                <w:b/>
                <w:sz w:val="20"/>
              </w:rPr>
              <w:t>All days</w:t>
            </w:r>
          </w:p>
        </w:tc>
        <w:tc>
          <w:tcPr>
            <w:tcW w:w="1250" w:type="dxa"/>
            <w:shd w:val="clear" w:color="auto" w:fill="CCCCCC"/>
          </w:tcPr>
          <w:p w14:paraId="5C4CDB2F" w14:textId="77777777" w:rsidR="005A709C" w:rsidRDefault="005A709C">
            <w:pPr>
              <w:pStyle w:val="TableParagraph"/>
              <w:spacing w:before="0"/>
              <w:rPr>
                <w:rFonts w:ascii="Times New Roman"/>
                <w:sz w:val="18"/>
              </w:rPr>
            </w:pPr>
          </w:p>
        </w:tc>
        <w:tc>
          <w:tcPr>
            <w:tcW w:w="1250" w:type="dxa"/>
            <w:shd w:val="clear" w:color="auto" w:fill="CCCCCC"/>
          </w:tcPr>
          <w:p w14:paraId="0B819436" w14:textId="77777777" w:rsidR="005A709C" w:rsidRDefault="005A709C">
            <w:pPr>
              <w:pStyle w:val="TableParagraph"/>
              <w:spacing w:before="0"/>
              <w:rPr>
                <w:rFonts w:ascii="Times New Roman"/>
                <w:sz w:val="18"/>
              </w:rPr>
            </w:pPr>
          </w:p>
        </w:tc>
        <w:tc>
          <w:tcPr>
            <w:tcW w:w="1250" w:type="dxa"/>
            <w:shd w:val="clear" w:color="auto" w:fill="CCCCCC"/>
          </w:tcPr>
          <w:p w14:paraId="051F91F2" w14:textId="77777777" w:rsidR="005A709C" w:rsidRDefault="005A709C">
            <w:pPr>
              <w:pStyle w:val="TableParagraph"/>
              <w:spacing w:before="0"/>
              <w:rPr>
                <w:rFonts w:ascii="Times New Roman"/>
                <w:sz w:val="18"/>
              </w:rPr>
            </w:pPr>
          </w:p>
        </w:tc>
        <w:tc>
          <w:tcPr>
            <w:tcW w:w="1250" w:type="dxa"/>
            <w:shd w:val="clear" w:color="auto" w:fill="CCCCCC"/>
          </w:tcPr>
          <w:p w14:paraId="272E987A" w14:textId="77777777" w:rsidR="005A709C" w:rsidRDefault="005A709C">
            <w:pPr>
              <w:pStyle w:val="TableParagraph"/>
              <w:spacing w:before="0"/>
              <w:rPr>
                <w:rFonts w:ascii="Times New Roman"/>
                <w:sz w:val="18"/>
              </w:rPr>
            </w:pPr>
          </w:p>
        </w:tc>
        <w:tc>
          <w:tcPr>
            <w:tcW w:w="1250" w:type="dxa"/>
            <w:shd w:val="clear" w:color="auto" w:fill="CCCCCC"/>
          </w:tcPr>
          <w:p w14:paraId="419C5690" w14:textId="77777777" w:rsidR="005A709C" w:rsidRDefault="005A709C">
            <w:pPr>
              <w:pStyle w:val="TableParagraph"/>
              <w:spacing w:before="0"/>
              <w:rPr>
                <w:rFonts w:ascii="Times New Roman"/>
                <w:sz w:val="18"/>
              </w:rPr>
            </w:pPr>
          </w:p>
        </w:tc>
        <w:tc>
          <w:tcPr>
            <w:tcW w:w="1248" w:type="dxa"/>
            <w:shd w:val="clear" w:color="auto" w:fill="CCCCCC"/>
          </w:tcPr>
          <w:p w14:paraId="25B1AEC7" w14:textId="77777777" w:rsidR="005A709C" w:rsidRDefault="005A709C">
            <w:pPr>
              <w:pStyle w:val="TableParagraph"/>
              <w:spacing w:before="0"/>
              <w:rPr>
                <w:rFonts w:ascii="Times New Roman"/>
                <w:sz w:val="18"/>
              </w:rPr>
            </w:pPr>
          </w:p>
        </w:tc>
      </w:tr>
      <w:tr w:rsidR="005A709C" w14:paraId="2D10805C" w14:textId="77777777">
        <w:trPr>
          <w:trHeight w:val="702"/>
        </w:trPr>
        <w:tc>
          <w:tcPr>
            <w:tcW w:w="2042" w:type="dxa"/>
          </w:tcPr>
          <w:p w14:paraId="6226FCAB" w14:textId="77777777" w:rsidR="005A709C" w:rsidRDefault="00B007F1">
            <w:pPr>
              <w:pStyle w:val="TableParagraph"/>
              <w:spacing w:before="22"/>
              <w:ind w:left="59" w:right="204"/>
              <w:jc w:val="both"/>
              <w:rPr>
                <w:sz w:val="18"/>
              </w:rPr>
            </w:pPr>
            <w:r>
              <w:rPr>
                <w:sz w:val="18"/>
              </w:rPr>
              <w:t>Total nurse (RN, LPN, LVN, and Nurse Aide) hours</w:t>
            </w:r>
          </w:p>
        </w:tc>
        <w:tc>
          <w:tcPr>
            <w:tcW w:w="1250" w:type="dxa"/>
          </w:tcPr>
          <w:p w14:paraId="0CB80776" w14:textId="77777777" w:rsidR="005A709C" w:rsidRDefault="00B007F1">
            <w:pPr>
              <w:pStyle w:val="TableParagraph"/>
              <w:spacing w:before="22"/>
              <w:ind w:left="324"/>
              <w:rPr>
                <w:sz w:val="18"/>
              </w:rPr>
            </w:pPr>
            <w:r>
              <w:rPr>
                <w:sz w:val="18"/>
              </w:rPr>
              <w:t>4 hours</w:t>
            </w:r>
          </w:p>
        </w:tc>
        <w:tc>
          <w:tcPr>
            <w:tcW w:w="1250" w:type="dxa"/>
          </w:tcPr>
          <w:p w14:paraId="0B02FD75" w14:textId="77777777" w:rsidR="005A709C" w:rsidRDefault="00B007F1">
            <w:pPr>
              <w:pStyle w:val="TableParagraph"/>
              <w:spacing w:before="22"/>
              <w:ind w:left="198" w:right="195"/>
              <w:jc w:val="center"/>
              <w:rPr>
                <w:sz w:val="18"/>
              </w:rPr>
            </w:pPr>
            <w:r>
              <w:rPr>
                <w:sz w:val="18"/>
              </w:rPr>
              <w:t>4.001</w:t>
            </w:r>
          </w:p>
        </w:tc>
        <w:tc>
          <w:tcPr>
            <w:tcW w:w="1250" w:type="dxa"/>
          </w:tcPr>
          <w:p w14:paraId="0CC21ED7" w14:textId="77777777" w:rsidR="005A709C" w:rsidRDefault="00B007F1">
            <w:pPr>
              <w:pStyle w:val="TableParagraph"/>
              <w:spacing w:before="22"/>
              <w:ind w:left="198" w:right="194"/>
              <w:jc w:val="center"/>
              <w:rPr>
                <w:sz w:val="18"/>
              </w:rPr>
            </w:pPr>
            <w:r>
              <w:rPr>
                <w:sz w:val="18"/>
              </w:rPr>
              <w:t>3.902</w:t>
            </w:r>
          </w:p>
        </w:tc>
        <w:tc>
          <w:tcPr>
            <w:tcW w:w="1250" w:type="dxa"/>
          </w:tcPr>
          <w:p w14:paraId="0E25CD77" w14:textId="77777777" w:rsidR="005A709C" w:rsidRDefault="00B007F1">
            <w:pPr>
              <w:pStyle w:val="TableParagraph"/>
              <w:spacing w:before="22"/>
              <w:ind w:left="198" w:right="193"/>
              <w:jc w:val="center"/>
              <w:rPr>
                <w:sz w:val="18"/>
              </w:rPr>
            </w:pPr>
            <w:r>
              <w:rPr>
                <w:sz w:val="18"/>
              </w:rPr>
              <w:t>3.501</w:t>
            </w:r>
          </w:p>
        </w:tc>
        <w:tc>
          <w:tcPr>
            <w:tcW w:w="1250" w:type="dxa"/>
          </w:tcPr>
          <w:p w14:paraId="5B47F9EA" w14:textId="77777777" w:rsidR="005A709C" w:rsidRDefault="00B007F1">
            <w:pPr>
              <w:pStyle w:val="TableParagraph"/>
              <w:spacing w:before="22"/>
              <w:ind w:left="198" w:right="192"/>
              <w:jc w:val="center"/>
              <w:rPr>
                <w:sz w:val="18"/>
              </w:rPr>
            </w:pPr>
            <w:r>
              <w:rPr>
                <w:sz w:val="18"/>
              </w:rPr>
              <w:t>3.875</w:t>
            </w:r>
          </w:p>
        </w:tc>
        <w:tc>
          <w:tcPr>
            <w:tcW w:w="1248" w:type="dxa"/>
          </w:tcPr>
          <w:p w14:paraId="734B5BDF" w14:textId="77777777" w:rsidR="005A709C" w:rsidRDefault="00B007F1">
            <w:pPr>
              <w:pStyle w:val="TableParagraph"/>
              <w:spacing w:before="22"/>
              <w:ind w:left="228" w:right="220"/>
              <w:jc w:val="center"/>
              <w:rPr>
                <w:b/>
                <w:sz w:val="18"/>
              </w:rPr>
            </w:pPr>
            <w:r>
              <w:rPr>
                <w:b/>
                <w:sz w:val="18"/>
              </w:rPr>
              <w:t>4.429</w:t>
            </w:r>
          </w:p>
        </w:tc>
      </w:tr>
      <w:tr w:rsidR="005A709C" w14:paraId="721A08AC" w14:textId="77777777">
        <w:trPr>
          <w:trHeight w:val="290"/>
        </w:trPr>
        <w:tc>
          <w:tcPr>
            <w:tcW w:w="2042" w:type="dxa"/>
          </w:tcPr>
          <w:p w14:paraId="6D19171F" w14:textId="77777777" w:rsidR="005A709C" w:rsidRDefault="00B007F1">
            <w:pPr>
              <w:pStyle w:val="TableParagraph"/>
              <w:spacing w:before="22"/>
              <w:ind w:left="59"/>
              <w:rPr>
                <w:sz w:val="18"/>
              </w:rPr>
            </w:pPr>
            <w:r>
              <w:rPr>
                <w:sz w:val="18"/>
              </w:rPr>
              <w:t>RN hours</w:t>
            </w:r>
          </w:p>
        </w:tc>
        <w:tc>
          <w:tcPr>
            <w:tcW w:w="1250" w:type="dxa"/>
          </w:tcPr>
          <w:p w14:paraId="7698E7F6" w14:textId="77777777" w:rsidR="005A709C" w:rsidRDefault="00B007F1">
            <w:pPr>
              <w:pStyle w:val="TableParagraph"/>
              <w:spacing w:before="22"/>
              <w:ind w:right="177"/>
              <w:jc w:val="right"/>
              <w:rPr>
                <w:sz w:val="18"/>
              </w:rPr>
            </w:pPr>
            <w:r>
              <w:rPr>
                <w:sz w:val="18"/>
              </w:rPr>
              <w:t>40 minutes</w:t>
            </w:r>
          </w:p>
        </w:tc>
        <w:tc>
          <w:tcPr>
            <w:tcW w:w="1250" w:type="dxa"/>
          </w:tcPr>
          <w:p w14:paraId="6307B131" w14:textId="77777777" w:rsidR="005A709C" w:rsidRDefault="00B007F1">
            <w:pPr>
              <w:pStyle w:val="TableParagraph"/>
              <w:spacing w:before="22"/>
              <w:ind w:left="198" w:right="195"/>
              <w:jc w:val="center"/>
              <w:rPr>
                <w:sz w:val="18"/>
              </w:rPr>
            </w:pPr>
            <w:r>
              <w:rPr>
                <w:sz w:val="18"/>
              </w:rPr>
              <w:t>0.668</w:t>
            </w:r>
          </w:p>
        </w:tc>
        <w:tc>
          <w:tcPr>
            <w:tcW w:w="1250" w:type="dxa"/>
          </w:tcPr>
          <w:p w14:paraId="39258323" w14:textId="77777777" w:rsidR="005A709C" w:rsidRDefault="00B007F1">
            <w:pPr>
              <w:pStyle w:val="TableParagraph"/>
              <w:spacing w:before="22"/>
              <w:ind w:left="198" w:right="194"/>
              <w:jc w:val="center"/>
              <w:rPr>
                <w:sz w:val="18"/>
              </w:rPr>
            </w:pPr>
            <w:r>
              <w:rPr>
                <w:sz w:val="18"/>
              </w:rPr>
              <w:t>0.683</w:t>
            </w:r>
          </w:p>
        </w:tc>
        <w:tc>
          <w:tcPr>
            <w:tcW w:w="1250" w:type="dxa"/>
          </w:tcPr>
          <w:p w14:paraId="6F24A37D" w14:textId="77777777" w:rsidR="005A709C" w:rsidRDefault="00B007F1">
            <w:pPr>
              <w:pStyle w:val="TableParagraph"/>
              <w:spacing w:before="22"/>
              <w:ind w:left="198" w:right="193"/>
              <w:jc w:val="center"/>
              <w:rPr>
                <w:sz w:val="18"/>
              </w:rPr>
            </w:pPr>
            <w:r>
              <w:rPr>
                <w:sz w:val="18"/>
              </w:rPr>
              <w:t>0.613</w:t>
            </w:r>
          </w:p>
        </w:tc>
        <w:tc>
          <w:tcPr>
            <w:tcW w:w="1250" w:type="dxa"/>
          </w:tcPr>
          <w:p w14:paraId="6BA0E114" w14:textId="77777777" w:rsidR="005A709C" w:rsidRDefault="00B007F1">
            <w:pPr>
              <w:pStyle w:val="TableParagraph"/>
              <w:spacing w:before="22"/>
              <w:ind w:left="198" w:right="192"/>
              <w:jc w:val="center"/>
              <w:rPr>
                <w:sz w:val="18"/>
              </w:rPr>
            </w:pPr>
            <w:r>
              <w:rPr>
                <w:sz w:val="18"/>
              </w:rPr>
              <w:t>0.679</w:t>
            </w:r>
          </w:p>
        </w:tc>
        <w:tc>
          <w:tcPr>
            <w:tcW w:w="1248" w:type="dxa"/>
          </w:tcPr>
          <w:p w14:paraId="15E7A10C" w14:textId="77777777" w:rsidR="005A709C" w:rsidRDefault="00B007F1">
            <w:pPr>
              <w:pStyle w:val="TableParagraph"/>
              <w:spacing w:before="22"/>
              <w:ind w:left="228" w:right="220"/>
              <w:jc w:val="center"/>
              <w:rPr>
                <w:b/>
                <w:sz w:val="18"/>
              </w:rPr>
            </w:pPr>
            <w:r>
              <w:rPr>
                <w:b/>
                <w:sz w:val="18"/>
              </w:rPr>
              <w:t>0.739</w:t>
            </w:r>
          </w:p>
        </w:tc>
      </w:tr>
      <w:tr w:rsidR="005A709C" w14:paraId="467A4558" w14:textId="77777777">
        <w:trPr>
          <w:trHeight w:val="290"/>
        </w:trPr>
        <w:tc>
          <w:tcPr>
            <w:tcW w:w="2042" w:type="dxa"/>
          </w:tcPr>
          <w:p w14:paraId="6BCB9AFA" w14:textId="77777777" w:rsidR="005A709C" w:rsidRDefault="00B007F1">
            <w:pPr>
              <w:pStyle w:val="TableParagraph"/>
              <w:spacing w:before="22"/>
              <w:ind w:left="59"/>
              <w:rPr>
                <w:sz w:val="18"/>
              </w:rPr>
            </w:pPr>
            <w:r>
              <w:rPr>
                <w:sz w:val="18"/>
              </w:rPr>
              <w:t>LPN/LVN hours</w:t>
            </w:r>
          </w:p>
        </w:tc>
        <w:tc>
          <w:tcPr>
            <w:tcW w:w="1250" w:type="dxa"/>
          </w:tcPr>
          <w:p w14:paraId="7D05699E" w14:textId="77777777" w:rsidR="005A709C" w:rsidRDefault="00B007F1">
            <w:pPr>
              <w:pStyle w:val="TableParagraph"/>
              <w:spacing w:before="22"/>
              <w:ind w:right="177"/>
              <w:jc w:val="right"/>
              <w:rPr>
                <w:sz w:val="18"/>
              </w:rPr>
            </w:pPr>
            <w:r>
              <w:rPr>
                <w:sz w:val="18"/>
              </w:rPr>
              <w:t>52 minutes</w:t>
            </w:r>
          </w:p>
        </w:tc>
        <w:tc>
          <w:tcPr>
            <w:tcW w:w="1250" w:type="dxa"/>
          </w:tcPr>
          <w:p w14:paraId="53B1DBE4" w14:textId="77777777" w:rsidR="005A709C" w:rsidRDefault="00B007F1">
            <w:pPr>
              <w:pStyle w:val="TableParagraph"/>
              <w:spacing w:before="22"/>
              <w:ind w:left="198" w:right="195"/>
              <w:jc w:val="center"/>
              <w:rPr>
                <w:sz w:val="18"/>
              </w:rPr>
            </w:pPr>
            <w:r>
              <w:rPr>
                <w:sz w:val="18"/>
              </w:rPr>
              <w:t>0.865</w:t>
            </w:r>
          </w:p>
        </w:tc>
        <w:tc>
          <w:tcPr>
            <w:tcW w:w="1250" w:type="dxa"/>
          </w:tcPr>
          <w:p w14:paraId="694D9FA7" w14:textId="77777777" w:rsidR="005A709C" w:rsidRDefault="00B007F1">
            <w:pPr>
              <w:pStyle w:val="TableParagraph"/>
              <w:spacing w:before="22"/>
              <w:ind w:left="198" w:right="194"/>
              <w:jc w:val="center"/>
              <w:rPr>
                <w:sz w:val="18"/>
              </w:rPr>
            </w:pPr>
            <w:r>
              <w:rPr>
                <w:sz w:val="18"/>
              </w:rPr>
              <w:t>0.871</w:t>
            </w:r>
          </w:p>
        </w:tc>
        <w:tc>
          <w:tcPr>
            <w:tcW w:w="1250" w:type="dxa"/>
          </w:tcPr>
          <w:p w14:paraId="61F2C419" w14:textId="77777777" w:rsidR="005A709C" w:rsidRDefault="00B007F1">
            <w:pPr>
              <w:pStyle w:val="TableParagraph"/>
              <w:spacing w:before="22"/>
              <w:ind w:left="198" w:right="193"/>
              <w:jc w:val="center"/>
              <w:rPr>
                <w:sz w:val="18"/>
              </w:rPr>
            </w:pPr>
            <w:r>
              <w:rPr>
                <w:sz w:val="18"/>
              </w:rPr>
              <w:t>0.781</w:t>
            </w:r>
          </w:p>
        </w:tc>
        <w:tc>
          <w:tcPr>
            <w:tcW w:w="1250" w:type="dxa"/>
          </w:tcPr>
          <w:p w14:paraId="3959EBA4" w14:textId="77777777" w:rsidR="005A709C" w:rsidRDefault="00B007F1">
            <w:pPr>
              <w:pStyle w:val="TableParagraph"/>
              <w:spacing w:before="22"/>
              <w:ind w:left="198" w:right="192"/>
              <w:jc w:val="center"/>
              <w:rPr>
                <w:sz w:val="18"/>
              </w:rPr>
            </w:pPr>
            <w:r>
              <w:rPr>
                <w:sz w:val="18"/>
              </w:rPr>
              <w:t>0.865</w:t>
            </w:r>
          </w:p>
        </w:tc>
        <w:tc>
          <w:tcPr>
            <w:tcW w:w="1248" w:type="dxa"/>
          </w:tcPr>
          <w:p w14:paraId="49B1D662" w14:textId="77777777" w:rsidR="005A709C" w:rsidRDefault="00B007F1">
            <w:pPr>
              <w:pStyle w:val="TableParagraph"/>
              <w:spacing w:before="22"/>
              <w:ind w:left="228" w:right="220"/>
              <w:jc w:val="center"/>
              <w:rPr>
                <w:b/>
                <w:sz w:val="18"/>
              </w:rPr>
            </w:pPr>
            <w:r>
              <w:rPr>
                <w:b/>
                <w:sz w:val="18"/>
              </w:rPr>
              <w:t>0.958</w:t>
            </w:r>
          </w:p>
        </w:tc>
      </w:tr>
      <w:tr w:rsidR="005A709C" w14:paraId="15CEF19E" w14:textId="77777777">
        <w:trPr>
          <w:trHeight w:val="496"/>
        </w:trPr>
        <w:tc>
          <w:tcPr>
            <w:tcW w:w="2042" w:type="dxa"/>
          </w:tcPr>
          <w:p w14:paraId="5BC30F58" w14:textId="77777777" w:rsidR="005A709C" w:rsidRDefault="00B007F1">
            <w:pPr>
              <w:pStyle w:val="TableParagraph"/>
              <w:spacing w:before="22"/>
              <w:ind w:left="59"/>
              <w:rPr>
                <w:sz w:val="18"/>
              </w:rPr>
            </w:pPr>
            <w:r>
              <w:rPr>
                <w:sz w:val="18"/>
              </w:rPr>
              <w:t>Nurse aide hours</w:t>
            </w:r>
          </w:p>
        </w:tc>
        <w:tc>
          <w:tcPr>
            <w:tcW w:w="1250" w:type="dxa"/>
          </w:tcPr>
          <w:p w14:paraId="65307CA8" w14:textId="77777777" w:rsidR="005A709C" w:rsidRDefault="00B007F1">
            <w:pPr>
              <w:pStyle w:val="TableParagraph"/>
              <w:spacing w:before="22" w:line="207" w:lineRule="exact"/>
              <w:ind w:left="149"/>
              <w:rPr>
                <w:sz w:val="18"/>
              </w:rPr>
            </w:pPr>
            <w:r>
              <w:rPr>
                <w:sz w:val="18"/>
              </w:rPr>
              <w:t>2 hours and</w:t>
            </w:r>
          </w:p>
          <w:p w14:paraId="102B2322" w14:textId="77777777" w:rsidR="005A709C" w:rsidRDefault="00B007F1">
            <w:pPr>
              <w:pStyle w:val="TableParagraph"/>
              <w:spacing w:before="0" w:line="207" w:lineRule="exact"/>
              <w:ind w:left="185"/>
              <w:rPr>
                <w:sz w:val="18"/>
              </w:rPr>
            </w:pPr>
            <w:r>
              <w:rPr>
                <w:sz w:val="18"/>
              </w:rPr>
              <w:t>28 minutes</w:t>
            </w:r>
          </w:p>
        </w:tc>
        <w:tc>
          <w:tcPr>
            <w:tcW w:w="1250" w:type="dxa"/>
          </w:tcPr>
          <w:p w14:paraId="61EF8A9E" w14:textId="77777777" w:rsidR="005A709C" w:rsidRDefault="00B007F1">
            <w:pPr>
              <w:pStyle w:val="TableParagraph"/>
              <w:spacing w:before="22"/>
              <w:ind w:left="198" w:right="195"/>
              <w:jc w:val="center"/>
              <w:rPr>
                <w:sz w:val="18"/>
              </w:rPr>
            </w:pPr>
            <w:r>
              <w:rPr>
                <w:sz w:val="18"/>
              </w:rPr>
              <w:t>2.468</w:t>
            </w:r>
          </w:p>
        </w:tc>
        <w:tc>
          <w:tcPr>
            <w:tcW w:w="1250" w:type="dxa"/>
          </w:tcPr>
          <w:p w14:paraId="3DA5C33D" w14:textId="77777777" w:rsidR="005A709C" w:rsidRDefault="00B007F1">
            <w:pPr>
              <w:pStyle w:val="TableParagraph"/>
              <w:spacing w:before="22"/>
              <w:ind w:left="198" w:right="194"/>
              <w:jc w:val="center"/>
              <w:rPr>
                <w:sz w:val="18"/>
              </w:rPr>
            </w:pPr>
            <w:r>
              <w:rPr>
                <w:sz w:val="18"/>
              </w:rPr>
              <w:t>2.348</w:t>
            </w:r>
          </w:p>
        </w:tc>
        <w:tc>
          <w:tcPr>
            <w:tcW w:w="1250" w:type="dxa"/>
          </w:tcPr>
          <w:p w14:paraId="1B3FCDF5" w14:textId="77777777" w:rsidR="005A709C" w:rsidRDefault="00B007F1">
            <w:pPr>
              <w:pStyle w:val="TableParagraph"/>
              <w:spacing w:before="22"/>
              <w:ind w:left="198" w:right="193"/>
              <w:jc w:val="center"/>
              <w:rPr>
                <w:sz w:val="18"/>
              </w:rPr>
            </w:pPr>
            <w:r>
              <w:rPr>
                <w:sz w:val="18"/>
              </w:rPr>
              <w:t>2.107</w:t>
            </w:r>
          </w:p>
        </w:tc>
        <w:tc>
          <w:tcPr>
            <w:tcW w:w="1250" w:type="dxa"/>
          </w:tcPr>
          <w:p w14:paraId="79CCFED3" w14:textId="77777777" w:rsidR="005A709C" w:rsidRDefault="00B007F1">
            <w:pPr>
              <w:pStyle w:val="TableParagraph"/>
              <w:spacing w:before="22"/>
              <w:ind w:left="198" w:right="192"/>
              <w:jc w:val="center"/>
              <w:rPr>
                <w:sz w:val="18"/>
              </w:rPr>
            </w:pPr>
            <w:r>
              <w:rPr>
                <w:sz w:val="18"/>
              </w:rPr>
              <w:t>2.332</w:t>
            </w:r>
          </w:p>
        </w:tc>
        <w:tc>
          <w:tcPr>
            <w:tcW w:w="1248" w:type="dxa"/>
          </w:tcPr>
          <w:p w14:paraId="4858E827" w14:textId="77777777" w:rsidR="005A709C" w:rsidRDefault="00B007F1">
            <w:pPr>
              <w:pStyle w:val="TableParagraph"/>
              <w:spacing w:before="22"/>
              <w:ind w:left="228" w:right="220"/>
              <w:jc w:val="center"/>
              <w:rPr>
                <w:b/>
                <w:sz w:val="18"/>
              </w:rPr>
            </w:pPr>
            <w:r>
              <w:rPr>
                <w:b/>
                <w:sz w:val="18"/>
              </w:rPr>
              <w:t>2.732</w:t>
            </w:r>
          </w:p>
        </w:tc>
      </w:tr>
      <w:tr w:rsidR="005A709C" w14:paraId="48352653" w14:textId="77777777">
        <w:trPr>
          <w:trHeight w:val="501"/>
        </w:trPr>
        <w:tc>
          <w:tcPr>
            <w:tcW w:w="2042" w:type="dxa"/>
          </w:tcPr>
          <w:p w14:paraId="3F17FEE2" w14:textId="77777777" w:rsidR="005A709C" w:rsidRDefault="00B007F1">
            <w:pPr>
              <w:pStyle w:val="TableParagraph"/>
              <w:spacing w:before="26"/>
              <w:ind w:left="59" w:right="480"/>
              <w:rPr>
                <w:sz w:val="18"/>
              </w:rPr>
            </w:pPr>
            <w:r>
              <w:rPr>
                <w:sz w:val="18"/>
              </w:rPr>
              <w:t>Physical therapist</w:t>
            </w:r>
            <w:r>
              <w:rPr>
                <w:position w:val="5"/>
                <w:sz w:val="12"/>
              </w:rPr>
              <w:t xml:space="preserve">1 </w:t>
            </w:r>
            <w:r>
              <w:rPr>
                <w:sz w:val="18"/>
              </w:rPr>
              <w:t>hours</w:t>
            </w:r>
          </w:p>
        </w:tc>
        <w:tc>
          <w:tcPr>
            <w:tcW w:w="1250" w:type="dxa"/>
          </w:tcPr>
          <w:p w14:paraId="1699FEB1" w14:textId="77777777" w:rsidR="005A709C" w:rsidRDefault="00B007F1">
            <w:pPr>
              <w:pStyle w:val="TableParagraph"/>
              <w:spacing w:before="26"/>
              <w:ind w:right="229"/>
              <w:jc w:val="right"/>
              <w:rPr>
                <w:sz w:val="18"/>
              </w:rPr>
            </w:pPr>
            <w:r>
              <w:rPr>
                <w:sz w:val="18"/>
              </w:rPr>
              <w:t>5 minutes</w:t>
            </w:r>
          </w:p>
        </w:tc>
        <w:tc>
          <w:tcPr>
            <w:tcW w:w="1250" w:type="dxa"/>
            <w:shd w:val="clear" w:color="auto" w:fill="404040"/>
          </w:tcPr>
          <w:p w14:paraId="2CCC96EE" w14:textId="77777777" w:rsidR="005A709C" w:rsidRDefault="005A709C">
            <w:pPr>
              <w:pStyle w:val="TableParagraph"/>
              <w:spacing w:before="0"/>
              <w:rPr>
                <w:rFonts w:ascii="Times New Roman"/>
                <w:sz w:val="18"/>
              </w:rPr>
            </w:pPr>
          </w:p>
        </w:tc>
        <w:tc>
          <w:tcPr>
            <w:tcW w:w="1250" w:type="dxa"/>
            <w:shd w:val="clear" w:color="auto" w:fill="404040"/>
          </w:tcPr>
          <w:p w14:paraId="3FC6FF01" w14:textId="77777777" w:rsidR="005A709C" w:rsidRDefault="005A709C">
            <w:pPr>
              <w:pStyle w:val="TableParagraph"/>
              <w:spacing w:before="0"/>
              <w:rPr>
                <w:rFonts w:ascii="Times New Roman"/>
                <w:sz w:val="18"/>
              </w:rPr>
            </w:pPr>
          </w:p>
        </w:tc>
        <w:tc>
          <w:tcPr>
            <w:tcW w:w="1250" w:type="dxa"/>
            <w:shd w:val="clear" w:color="auto" w:fill="404040"/>
          </w:tcPr>
          <w:p w14:paraId="50319B56" w14:textId="77777777" w:rsidR="005A709C" w:rsidRDefault="005A709C">
            <w:pPr>
              <w:pStyle w:val="TableParagraph"/>
              <w:spacing w:before="0"/>
              <w:rPr>
                <w:rFonts w:ascii="Times New Roman"/>
                <w:sz w:val="18"/>
              </w:rPr>
            </w:pPr>
          </w:p>
        </w:tc>
        <w:tc>
          <w:tcPr>
            <w:tcW w:w="1250" w:type="dxa"/>
            <w:shd w:val="clear" w:color="auto" w:fill="404040"/>
          </w:tcPr>
          <w:p w14:paraId="1A210125" w14:textId="77777777" w:rsidR="005A709C" w:rsidRDefault="005A709C">
            <w:pPr>
              <w:pStyle w:val="TableParagraph"/>
              <w:spacing w:before="0"/>
              <w:rPr>
                <w:rFonts w:ascii="Times New Roman"/>
                <w:sz w:val="18"/>
              </w:rPr>
            </w:pPr>
          </w:p>
        </w:tc>
        <w:tc>
          <w:tcPr>
            <w:tcW w:w="1248" w:type="dxa"/>
            <w:shd w:val="clear" w:color="auto" w:fill="404040"/>
          </w:tcPr>
          <w:p w14:paraId="7F35A62E" w14:textId="77777777" w:rsidR="005A709C" w:rsidRDefault="005A709C">
            <w:pPr>
              <w:pStyle w:val="TableParagraph"/>
              <w:spacing w:before="0"/>
              <w:rPr>
                <w:rFonts w:ascii="Times New Roman"/>
                <w:sz w:val="18"/>
              </w:rPr>
            </w:pPr>
          </w:p>
        </w:tc>
      </w:tr>
      <w:tr w:rsidR="005A709C" w14:paraId="56F9EC47" w14:textId="77777777">
        <w:trPr>
          <w:trHeight w:val="544"/>
        </w:trPr>
        <w:tc>
          <w:tcPr>
            <w:tcW w:w="2042" w:type="dxa"/>
            <w:shd w:val="clear" w:color="auto" w:fill="CCCCCC"/>
          </w:tcPr>
          <w:p w14:paraId="3A0C227B" w14:textId="77777777" w:rsidR="005A709C" w:rsidRDefault="00B007F1">
            <w:pPr>
              <w:pStyle w:val="TableParagraph"/>
              <w:spacing w:before="17" w:line="247" w:lineRule="auto"/>
              <w:ind w:left="59" w:right="101"/>
              <w:rPr>
                <w:b/>
                <w:sz w:val="20"/>
              </w:rPr>
            </w:pPr>
            <w:r>
              <w:rPr>
                <w:b/>
                <w:sz w:val="20"/>
              </w:rPr>
              <w:t>Weekend (Saturday and Sunday)</w:t>
            </w:r>
          </w:p>
        </w:tc>
        <w:tc>
          <w:tcPr>
            <w:tcW w:w="1250" w:type="dxa"/>
            <w:shd w:val="clear" w:color="auto" w:fill="CCCCCC"/>
          </w:tcPr>
          <w:p w14:paraId="7E93AAD6" w14:textId="77777777" w:rsidR="005A709C" w:rsidRDefault="005A709C">
            <w:pPr>
              <w:pStyle w:val="TableParagraph"/>
              <w:spacing w:before="0"/>
              <w:rPr>
                <w:rFonts w:ascii="Times New Roman"/>
                <w:sz w:val="18"/>
              </w:rPr>
            </w:pPr>
          </w:p>
        </w:tc>
        <w:tc>
          <w:tcPr>
            <w:tcW w:w="1250" w:type="dxa"/>
            <w:shd w:val="clear" w:color="auto" w:fill="CCCCCC"/>
          </w:tcPr>
          <w:p w14:paraId="020DD200" w14:textId="77777777" w:rsidR="005A709C" w:rsidRDefault="005A709C">
            <w:pPr>
              <w:pStyle w:val="TableParagraph"/>
              <w:spacing w:before="0"/>
              <w:rPr>
                <w:rFonts w:ascii="Times New Roman"/>
                <w:sz w:val="18"/>
              </w:rPr>
            </w:pPr>
          </w:p>
        </w:tc>
        <w:tc>
          <w:tcPr>
            <w:tcW w:w="1250" w:type="dxa"/>
            <w:shd w:val="clear" w:color="auto" w:fill="CCCCCC"/>
          </w:tcPr>
          <w:p w14:paraId="673E0005" w14:textId="77777777" w:rsidR="005A709C" w:rsidRDefault="005A709C">
            <w:pPr>
              <w:pStyle w:val="TableParagraph"/>
              <w:spacing w:before="0"/>
              <w:rPr>
                <w:rFonts w:ascii="Times New Roman"/>
                <w:sz w:val="18"/>
              </w:rPr>
            </w:pPr>
          </w:p>
        </w:tc>
        <w:tc>
          <w:tcPr>
            <w:tcW w:w="1250" w:type="dxa"/>
            <w:shd w:val="clear" w:color="auto" w:fill="CCCCCC"/>
          </w:tcPr>
          <w:p w14:paraId="5093BE99" w14:textId="77777777" w:rsidR="005A709C" w:rsidRDefault="005A709C">
            <w:pPr>
              <w:pStyle w:val="TableParagraph"/>
              <w:spacing w:before="0"/>
              <w:rPr>
                <w:rFonts w:ascii="Times New Roman"/>
                <w:sz w:val="18"/>
              </w:rPr>
            </w:pPr>
          </w:p>
        </w:tc>
        <w:tc>
          <w:tcPr>
            <w:tcW w:w="1250" w:type="dxa"/>
            <w:shd w:val="clear" w:color="auto" w:fill="CCCCCC"/>
          </w:tcPr>
          <w:p w14:paraId="4F03CAF3" w14:textId="77777777" w:rsidR="005A709C" w:rsidRDefault="005A709C">
            <w:pPr>
              <w:pStyle w:val="TableParagraph"/>
              <w:spacing w:before="0"/>
              <w:rPr>
                <w:rFonts w:ascii="Times New Roman"/>
                <w:sz w:val="18"/>
              </w:rPr>
            </w:pPr>
          </w:p>
        </w:tc>
        <w:tc>
          <w:tcPr>
            <w:tcW w:w="1248" w:type="dxa"/>
            <w:shd w:val="clear" w:color="auto" w:fill="CCCCCC"/>
          </w:tcPr>
          <w:p w14:paraId="5F8D9E2C" w14:textId="77777777" w:rsidR="005A709C" w:rsidRDefault="005A709C">
            <w:pPr>
              <w:pStyle w:val="TableParagraph"/>
              <w:spacing w:before="0"/>
              <w:rPr>
                <w:rFonts w:ascii="Times New Roman"/>
                <w:sz w:val="18"/>
              </w:rPr>
            </w:pPr>
          </w:p>
        </w:tc>
      </w:tr>
      <w:tr w:rsidR="005A709C" w14:paraId="5AF80C7D" w14:textId="77777777">
        <w:trPr>
          <w:trHeight w:val="702"/>
        </w:trPr>
        <w:tc>
          <w:tcPr>
            <w:tcW w:w="2042" w:type="dxa"/>
          </w:tcPr>
          <w:p w14:paraId="4CEA4805" w14:textId="77777777" w:rsidR="005A709C" w:rsidRDefault="00B007F1">
            <w:pPr>
              <w:pStyle w:val="TableParagraph"/>
              <w:spacing w:before="22"/>
              <w:ind w:left="59" w:right="204"/>
              <w:jc w:val="both"/>
              <w:rPr>
                <w:sz w:val="18"/>
              </w:rPr>
            </w:pPr>
            <w:r>
              <w:rPr>
                <w:sz w:val="18"/>
              </w:rPr>
              <w:t>Total nurse (RN, LPN, LVN, and Nurse Aide) hours</w:t>
            </w:r>
          </w:p>
        </w:tc>
        <w:tc>
          <w:tcPr>
            <w:tcW w:w="1250" w:type="dxa"/>
          </w:tcPr>
          <w:p w14:paraId="52D9B4B1" w14:textId="77777777" w:rsidR="005A709C" w:rsidRDefault="00B007F1">
            <w:pPr>
              <w:pStyle w:val="TableParagraph"/>
              <w:spacing w:before="22" w:line="207" w:lineRule="exact"/>
              <w:ind w:left="149"/>
              <w:rPr>
                <w:sz w:val="18"/>
              </w:rPr>
            </w:pPr>
            <w:r>
              <w:rPr>
                <w:sz w:val="18"/>
              </w:rPr>
              <w:t>3 hours and</w:t>
            </w:r>
          </w:p>
          <w:p w14:paraId="04F5D215" w14:textId="77777777" w:rsidR="005A709C" w:rsidRDefault="00B007F1">
            <w:pPr>
              <w:pStyle w:val="TableParagraph"/>
              <w:spacing w:before="0" w:line="207" w:lineRule="exact"/>
              <w:ind w:left="185"/>
              <w:rPr>
                <w:sz w:val="18"/>
              </w:rPr>
            </w:pPr>
            <w:r>
              <w:rPr>
                <w:sz w:val="18"/>
              </w:rPr>
              <w:t>42 minutes</w:t>
            </w:r>
          </w:p>
        </w:tc>
        <w:tc>
          <w:tcPr>
            <w:tcW w:w="1250" w:type="dxa"/>
          </w:tcPr>
          <w:p w14:paraId="658912B2" w14:textId="77777777" w:rsidR="005A709C" w:rsidRDefault="00B007F1">
            <w:pPr>
              <w:pStyle w:val="TableParagraph"/>
              <w:spacing w:before="22"/>
              <w:ind w:left="198" w:right="195"/>
              <w:jc w:val="center"/>
              <w:rPr>
                <w:sz w:val="18"/>
              </w:rPr>
            </w:pPr>
            <w:r>
              <w:rPr>
                <w:sz w:val="18"/>
              </w:rPr>
              <w:t>3.701</w:t>
            </w:r>
          </w:p>
        </w:tc>
        <w:tc>
          <w:tcPr>
            <w:tcW w:w="1250" w:type="dxa"/>
          </w:tcPr>
          <w:p w14:paraId="569F10CD" w14:textId="77777777" w:rsidR="005A709C" w:rsidRDefault="00B007F1">
            <w:pPr>
              <w:pStyle w:val="TableParagraph"/>
              <w:spacing w:before="22"/>
              <w:ind w:left="198" w:right="194"/>
              <w:jc w:val="center"/>
              <w:rPr>
                <w:sz w:val="18"/>
              </w:rPr>
            </w:pPr>
            <w:r>
              <w:rPr>
                <w:sz w:val="18"/>
              </w:rPr>
              <w:t>3.424</w:t>
            </w:r>
          </w:p>
        </w:tc>
        <w:tc>
          <w:tcPr>
            <w:tcW w:w="1250" w:type="dxa"/>
          </w:tcPr>
          <w:p w14:paraId="2F547605" w14:textId="77777777" w:rsidR="005A709C" w:rsidRDefault="00B007F1">
            <w:pPr>
              <w:pStyle w:val="TableParagraph"/>
              <w:spacing w:before="22"/>
              <w:ind w:left="198" w:right="193"/>
              <w:jc w:val="center"/>
              <w:rPr>
                <w:sz w:val="18"/>
              </w:rPr>
            </w:pPr>
            <w:r>
              <w:rPr>
                <w:sz w:val="18"/>
              </w:rPr>
              <w:t>3.073</w:t>
            </w:r>
          </w:p>
        </w:tc>
        <w:tc>
          <w:tcPr>
            <w:tcW w:w="1250" w:type="dxa"/>
          </w:tcPr>
          <w:p w14:paraId="564066B8" w14:textId="77777777" w:rsidR="005A709C" w:rsidRDefault="00B007F1">
            <w:pPr>
              <w:pStyle w:val="TableParagraph"/>
              <w:spacing w:before="22"/>
              <w:ind w:left="198" w:right="192"/>
              <w:jc w:val="center"/>
              <w:rPr>
                <w:sz w:val="18"/>
              </w:rPr>
            </w:pPr>
            <w:r>
              <w:rPr>
                <w:sz w:val="18"/>
              </w:rPr>
              <w:t>3.401</w:t>
            </w:r>
          </w:p>
        </w:tc>
        <w:tc>
          <w:tcPr>
            <w:tcW w:w="1248" w:type="dxa"/>
          </w:tcPr>
          <w:p w14:paraId="7FB196ED" w14:textId="77777777" w:rsidR="005A709C" w:rsidRDefault="00B007F1">
            <w:pPr>
              <w:pStyle w:val="TableParagraph"/>
              <w:spacing w:before="22"/>
              <w:ind w:left="228" w:right="220"/>
              <w:jc w:val="center"/>
              <w:rPr>
                <w:b/>
                <w:sz w:val="18"/>
              </w:rPr>
            </w:pPr>
            <w:r>
              <w:rPr>
                <w:b/>
                <w:sz w:val="18"/>
              </w:rPr>
              <w:t>4.097</w:t>
            </w:r>
          </w:p>
        </w:tc>
      </w:tr>
      <w:tr w:rsidR="005A709C" w14:paraId="52F07617" w14:textId="77777777">
        <w:trPr>
          <w:trHeight w:val="290"/>
        </w:trPr>
        <w:tc>
          <w:tcPr>
            <w:tcW w:w="2042" w:type="dxa"/>
          </w:tcPr>
          <w:p w14:paraId="79040421" w14:textId="77777777" w:rsidR="005A709C" w:rsidRDefault="00B007F1">
            <w:pPr>
              <w:pStyle w:val="TableParagraph"/>
              <w:spacing w:before="22"/>
              <w:ind w:left="59"/>
              <w:rPr>
                <w:sz w:val="18"/>
              </w:rPr>
            </w:pPr>
            <w:r>
              <w:rPr>
                <w:sz w:val="18"/>
              </w:rPr>
              <w:t>RN hours</w:t>
            </w:r>
          </w:p>
        </w:tc>
        <w:tc>
          <w:tcPr>
            <w:tcW w:w="1250" w:type="dxa"/>
          </w:tcPr>
          <w:p w14:paraId="2A1F5555" w14:textId="77777777" w:rsidR="005A709C" w:rsidRDefault="00B007F1">
            <w:pPr>
              <w:pStyle w:val="TableParagraph"/>
              <w:spacing w:before="22"/>
              <w:ind w:right="177"/>
              <w:jc w:val="right"/>
              <w:rPr>
                <w:sz w:val="18"/>
              </w:rPr>
            </w:pPr>
            <w:r>
              <w:rPr>
                <w:sz w:val="18"/>
              </w:rPr>
              <w:t>29 minutes</w:t>
            </w:r>
          </w:p>
        </w:tc>
        <w:tc>
          <w:tcPr>
            <w:tcW w:w="1250" w:type="dxa"/>
          </w:tcPr>
          <w:p w14:paraId="0F1974B9" w14:textId="77777777" w:rsidR="005A709C" w:rsidRDefault="00B007F1">
            <w:pPr>
              <w:pStyle w:val="TableParagraph"/>
              <w:spacing w:before="22"/>
              <w:ind w:left="198" w:right="195"/>
              <w:jc w:val="center"/>
              <w:rPr>
                <w:sz w:val="18"/>
              </w:rPr>
            </w:pPr>
            <w:r>
              <w:rPr>
                <w:sz w:val="18"/>
              </w:rPr>
              <w:t>0.475</w:t>
            </w:r>
          </w:p>
        </w:tc>
        <w:tc>
          <w:tcPr>
            <w:tcW w:w="1250" w:type="dxa"/>
            <w:shd w:val="clear" w:color="auto" w:fill="404040"/>
          </w:tcPr>
          <w:p w14:paraId="5E9FA4B0" w14:textId="77777777" w:rsidR="005A709C" w:rsidRDefault="005A709C">
            <w:pPr>
              <w:pStyle w:val="TableParagraph"/>
              <w:spacing w:before="0"/>
              <w:rPr>
                <w:rFonts w:ascii="Times New Roman"/>
                <w:sz w:val="18"/>
              </w:rPr>
            </w:pPr>
          </w:p>
        </w:tc>
        <w:tc>
          <w:tcPr>
            <w:tcW w:w="1250" w:type="dxa"/>
            <w:shd w:val="clear" w:color="auto" w:fill="404040"/>
          </w:tcPr>
          <w:p w14:paraId="2D7DD8B8" w14:textId="77777777" w:rsidR="005A709C" w:rsidRDefault="005A709C">
            <w:pPr>
              <w:pStyle w:val="TableParagraph"/>
              <w:spacing w:before="0"/>
              <w:rPr>
                <w:rFonts w:ascii="Times New Roman"/>
                <w:sz w:val="18"/>
              </w:rPr>
            </w:pPr>
          </w:p>
        </w:tc>
        <w:tc>
          <w:tcPr>
            <w:tcW w:w="1250" w:type="dxa"/>
            <w:shd w:val="clear" w:color="auto" w:fill="404040"/>
          </w:tcPr>
          <w:p w14:paraId="4FEFCA15" w14:textId="77777777" w:rsidR="005A709C" w:rsidRDefault="005A709C">
            <w:pPr>
              <w:pStyle w:val="TableParagraph"/>
              <w:spacing w:before="0"/>
              <w:rPr>
                <w:rFonts w:ascii="Times New Roman"/>
                <w:sz w:val="18"/>
              </w:rPr>
            </w:pPr>
          </w:p>
        </w:tc>
        <w:tc>
          <w:tcPr>
            <w:tcW w:w="1248" w:type="dxa"/>
            <w:shd w:val="clear" w:color="auto" w:fill="404040"/>
          </w:tcPr>
          <w:p w14:paraId="3D286D28" w14:textId="77777777" w:rsidR="005A709C" w:rsidRDefault="005A709C">
            <w:pPr>
              <w:pStyle w:val="TableParagraph"/>
              <w:spacing w:before="0"/>
              <w:rPr>
                <w:rFonts w:ascii="Times New Roman"/>
                <w:sz w:val="18"/>
              </w:rPr>
            </w:pPr>
          </w:p>
        </w:tc>
      </w:tr>
    </w:tbl>
    <w:p w14:paraId="6DEF3309" w14:textId="77777777" w:rsidR="005A709C" w:rsidRDefault="005A709C">
      <w:pPr>
        <w:pStyle w:val="BodyText"/>
        <w:rPr>
          <w:sz w:val="22"/>
        </w:rPr>
      </w:pPr>
    </w:p>
    <w:p w14:paraId="0C85C294" w14:textId="77777777" w:rsidR="005A709C" w:rsidRDefault="00B007F1">
      <w:pPr>
        <w:spacing w:before="150"/>
        <w:ind w:left="257"/>
        <w:rPr>
          <w:i/>
          <w:sz w:val="16"/>
        </w:rPr>
      </w:pPr>
      <w:r>
        <w:rPr>
          <w:i/>
          <w:position w:val="6"/>
          <w:sz w:val="13"/>
        </w:rPr>
        <w:t>1</w:t>
      </w:r>
      <w:r>
        <w:rPr>
          <w:i/>
          <w:sz w:val="16"/>
        </w:rPr>
        <w:t>Physical therapist hours are not included in the staffing rating calculation.</w:t>
      </w:r>
    </w:p>
    <w:p w14:paraId="0286673C" w14:textId="77777777" w:rsidR="005A709C" w:rsidRDefault="005A709C">
      <w:pPr>
        <w:pStyle w:val="BodyText"/>
        <w:spacing w:before="7"/>
        <w:rPr>
          <w:i/>
        </w:rPr>
      </w:pPr>
    </w:p>
    <w:p w14:paraId="79331680" w14:textId="77777777" w:rsidR="005A709C" w:rsidRDefault="00B007F1">
      <w:pPr>
        <w:pStyle w:val="BodyText"/>
        <w:ind w:left="257" w:right="794"/>
      </w:pPr>
      <w:r>
        <w:t xml:space="preserve">The average number of residents for your facility (based on MDS census) for April 1 - June 30, 2025 is </w:t>
      </w:r>
      <w:r>
        <w:rPr>
          <w:color w:val="0000FF"/>
        </w:rPr>
        <w:t>118.9</w:t>
      </w:r>
      <w:r>
        <w:t>.</w:t>
      </w:r>
    </w:p>
    <w:p w14:paraId="37F32510" w14:textId="77777777" w:rsidR="005A709C" w:rsidRDefault="005A709C">
      <w:pPr>
        <w:pStyle w:val="BodyText"/>
        <w:spacing w:before="6"/>
        <w:rPr>
          <w:sz w:val="19"/>
        </w:rPr>
      </w:pPr>
    </w:p>
    <w:p w14:paraId="05E1AB43" w14:textId="77777777" w:rsidR="005A709C" w:rsidRDefault="00B007F1">
      <w:pPr>
        <w:pStyle w:val="BodyText"/>
        <w:ind w:left="257" w:right="658"/>
      </w:pPr>
      <w:r>
        <w:t xml:space="preserve">The Nursing CMI ratio for your facility is </w:t>
      </w:r>
      <w:r>
        <w:rPr>
          <w:color w:val="0000FF"/>
        </w:rPr>
        <w:t>0.897</w:t>
      </w:r>
      <w:r>
        <w:t xml:space="preserve">. This is calculated as your facility's weighted average nursing case-mix index </w:t>
      </w:r>
      <w:r>
        <w:rPr>
          <w:color w:val="0000FF"/>
        </w:rPr>
        <w:t xml:space="preserve">1.235 </w:t>
      </w:r>
      <w:r>
        <w:t xml:space="preserve">divided by the national average nursing case-mix index </w:t>
      </w:r>
      <w:r>
        <w:rPr>
          <w:color w:val="0000FF"/>
        </w:rPr>
        <w:t>1.376</w:t>
      </w:r>
      <w:r>
        <w:t>.</w:t>
      </w:r>
    </w:p>
    <w:p w14:paraId="3D73D1A7" w14:textId="77777777" w:rsidR="005A709C" w:rsidRDefault="005A709C">
      <w:pPr>
        <w:pStyle w:val="BodyText"/>
        <w:spacing w:before="5"/>
        <w:rPr>
          <w:sz w:val="19"/>
        </w:rPr>
      </w:pPr>
    </w:p>
    <w:p w14:paraId="1F3EC2DF" w14:textId="77777777" w:rsidR="005A709C" w:rsidRDefault="00B007F1">
      <w:pPr>
        <w:pStyle w:val="BodyText"/>
        <w:ind w:left="257"/>
      </w:pPr>
      <w:r>
        <w:t>The Case-Mix HRD values are calculated as: Nursing CMI Ratio * the national average of reported HRD.</w:t>
      </w:r>
    </w:p>
    <w:p w14:paraId="45C69843" w14:textId="77777777" w:rsidR="005A709C" w:rsidRDefault="005A709C">
      <w:pPr>
        <w:pStyle w:val="BodyText"/>
        <w:spacing w:before="8"/>
        <w:rPr>
          <w:sz w:val="19"/>
        </w:rPr>
      </w:pPr>
    </w:p>
    <w:p w14:paraId="6ECC2578" w14:textId="77777777" w:rsidR="005A709C" w:rsidRDefault="00B007F1">
      <w:pPr>
        <w:pStyle w:val="BodyText"/>
        <w:ind w:left="257" w:right="906"/>
      </w:pPr>
      <w:r>
        <w:t>The Case-Mix Adjusted HRD values are calculated as: (Reported HRD/Case-Mix HRD) * the national average of case-mix HRD.</w:t>
      </w:r>
    </w:p>
    <w:p w14:paraId="28C65259" w14:textId="77777777" w:rsidR="005A709C" w:rsidRDefault="005A709C">
      <w:pPr>
        <w:sectPr w:rsidR="005A709C">
          <w:pgSz w:w="12240" w:h="15840"/>
          <w:pgMar w:top="1020" w:right="1120" w:bottom="280" w:left="1000" w:header="805" w:footer="0" w:gutter="0"/>
          <w:cols w:space="720"/>
        </w:sectPr>
      </w:pPr>
    </w:p>
    <w:p w14:paraId="5B51ED95" w14:textId="77777777" w:rsidR="005A709C" w:rsidRDefault="005A709C">
      <w:pPr>
        <w:pStyle w:val="BodyText"/>
        <w:spacing w:before="5"/>
        <w:rPr>
          <w:sz w:val="9"/>
        </w:rPr>
      </w:pPr>
    </w:p>
    <w:p w14:paraId="71145161" w14:textId="77777777" w:rsidR="005A709C" w:rsidRDefault="00B007F1">
      <w:pPr>
        <w:pStyle w:val="Heading3"/>
        <w:spacing w:before="93"/>
        <w:ind w:left="101"/>
      </w:pPr>
      <w:r>
        <w:t>Availability of Reported Staffing Data</w:t>
      </w:r>
    </w:p>
    <w:p w14:paraId="3382F7CA" w14:textId="77777777" w:rsidR="005A709C" w:rsidRDefault="00B007F1">
      <w:pPr>
        <w:pStyle w:val="BodyText"/>
        <w:spacing w:before="178"/>
        <w:ind w:left="101" w:right="572"/>
      </w:pPr>
      <w:r>
        <w:t>Some providers will see 'Not Available' for the reported hours per resident per day in the table above and a staffing rating may not be displayed for these facilities. There are several reasons this could occur:</w:t>
      </w:r>
    </w:p>
    <w:p w14:paraId="4268DC78" w14:textId="77777777" w:rsidR="005A709C" w:rsidRDefault="00B007F1">
      <w:pPr>
        <w:pStyle w:val="ListParagraph"/>
        <w:numPr>
          <w:ilvl w:val="0"/>
          <w:numId w:val="6"/>
        </w:numPr>
        <w:tabs>
          <w:tab w:val="left" w:pos="462"/>
        </w:tabs>
        <w:spacing w:before="176"/>
        <w:ind w:hanging="361"/>
        <w:rPr>
          <w:sz w:val="20"/>
        </w:rPr>
      </w:pPr>
      <w:r>
        <w:rPr>
          <w:sz w:val="20"/>
        </w:rPr>
        <w:t>No MDS census data were available for the facility.</w:t>
      </w:r>
    </w:p>
    <w:p w14:paraId="4BDECA80" w14:textId="77777777" w:rsidR="005A709C" w:rsidRDefault="00B007F1">
      <w:pPr>
        <w:pStyle w:val="ListParagraph"/>
        <w:numPr>
          <w:ilvl w:val="0"/>
          <w:numId w:val="6"/>
        </w:numPr>
        <w:tabs>
          <w:tab w:val="left" w:pos="462"/>
        </w:tabs>
        <w:ind w:hanging="361"/>
        <w:rPr>
          <w:sz w:val="20"/>
        </w:rPr>
      </w:pPr>
      <w:r>
        <w:rPr>
          <w:sz w:val="20"/>
        </w:rPr>
        <w:t>No on-time PBJ staffing data were submitted for the facility.</w:t>
      </w:r>
    </w:p>
    <w:p w14:paraId="3D0B6159" w14:textId="77777777" w:rsidR="005A709C" w:rsidRDefault="00B007F1">
      <w:pPr>
        <w:pStyle w:val="ListParagraph"/>
        <w:numPr>
          <w:ilvl w:val="0"/>
          <w:numId w:val="5"/>
        </w:numPr>
        <w:tabs>
          <w:tab w:val="left" w:pos="462"/>
        </w:tabs>
        <w:ind w:hanging="361"/>
        <w:rPr>
          <w:sz w:val="20"/>
        </w:rPr>
      </w:pPr>
      <w:r>
        <w:rPr>
          <w:sz w:val="20"/>
        </w:rPr>
        <w:t>No nursing hours were reported (0 HRD).</w:t>
      </w:r>
    </w:p>
    <w:p w14:paraId="78A26CCB" w14:textId="77777777" w:rsidR="005A709C" w:rsidRDefault="00B007F1">
      <w:pPr>
        <w:pStyle w:val="ListParagraph"/>
        <w:numPr>
          <w:ilvl w:val="0"/>
          <w:numId w:val="5"/>
        </w:numPr>
        <w:tabs>
          <w:tab w:val="left" w:pos="462"/>
        </w:tabs>
        <w:spacing w:before="31"/>
        <w:ind w:hanging="361"/>
        <w:rPr>
          <w:sz w:val="20"/>
        </w:rPr>
      </w:pPr>
      <w:r>
        <w:rPr>
          <w:sz w:val="20"/>
        </w:rPr>
        <w:t>Total reported nurse staffing was excessively high (&gt;12.0 HRD).</w:t>
      </w:r>
    </w:p>
    <w:p w14:paraId="0A34A34E" w14:textId="77777777" w:rsidR="005A709C" w:rsidRDefault="00B007F1">
      <w:pPr>
        <w:pStyle w:val="ListParagraph"/>
        <w:numPr>
          <w:ilvl w:val="0"/>
          <w:numId w:val="5"/>
        </w:numPr>
        <w:tabs>
          <w:tab w:val="left" w:pos="462"/>
        </w:tabs>
        <w:ind w:hanging="361"/>
        <w:rPr>
          <w:sz w:val="20"/>
        </w:rPr>
      </w:pPr>
      <w:r>
        <w:rPr>
          <w:sz w:val="20"/>
        </w:rPr>
        <w:t>Total reported nurse aide staffing was excessively high (&gt;5.25 HRD).</w:t>
      </w:r>
    </w:p>
    <w:p w14:paraId="2069AF0B" w14:textId="77777777" w:rsidR="005A709C" w:rsidRDefault="00B007F1">
      <w:pPr>
        <w:pStyle w:val="ListParagraph"/>
        <w:numPr>
          <w:ilvl w:val="0"/>
          <w:numId w:val="5"/>
        </w:numPr>
        <w:tabs>
          <w:tab w:val="left" w:pos="462"/>
        </w:tabs>
        <w:spacing w:before="31"/>
        <w:ind w:right="351"/>
        <w:rPr>
          <w:sz w:val="20"/>
        </w:rPr>
      </w:pPr>
      <w:r>
        <w:rPr>
          <w:sz w:val="20"/>
        </w:rPr>
        <w:t xml:space="preserve">A CMS audit identified significant discrepancies between the hours reported and the hours verified, or </w:t>
      </w:r>
      <w:r>
        <w:rPr>
          <w:spacing w:val="-6"/>
          <w:sz w:val="20"/>
        </w:rPr>
        <w:t xml:space="preserve">the </w:t>
      </w:r>
      <w:r>
        <w:rPr>
          <w:sz w:val="20"/>
        </w:rPr>
        <w:t>nursing home failed to respond to an audit request.</w:t>
      </w:r>
    </w:p>
    <w:p w14:paraId="116D0C52" w14:textId="77777777" w:rsidR="005A709C" w:rsidRDefault="00B007F1">
      <w:pPr>
        <w:pStyle w:val="ListParagraph"/>
        <w:numPr>
          <w:ilvl w:val="0"/>
          <w:numId w:val="4"/>
        </w:numPr>
        <w:tabs>
          <w:tab w:val="left" w:pos="462"/>
        </w:tabs>
        <w:spacing w:before="30"/>
        <w:ind w:hanging="361"/>
        <w:rPr>
          <w:sz w:val="20"/>
        </w:rPr>
      </w:pPr>
      <w:r>
        <w:rPr>
          <w:sz w:val="20"/>
        </w:rPr>
        <w:t>No nursing hours were reported on weekends (0 HRD).</w:t>
      </w:r>
    </w:p>
    <w:p w14:paraId="1F7E58AB" w14:textId="77777777" w:rsidR="005A709C" w:rsidRDefault="00B007F1">
      <w:pPr>
        <w:pStyle w:val="ListParagraph"/>
        <w:numPr>
          <w:ilvl w:val="0"/>
          <w:numId w:val="4"/>
        </w:numPr>
        <w:tabs>
          <w:tab w:val="left" w:pos="462"/>
        </w:tabs>
        <w:ind w:hanging="361"/>
        <w:rPr>
          <w:sz w:val="20"/>
        </w:rPr>
      </w:pPr>
      <w:r>
        <w:rPr>
          <w:sz w:val="20"/>
        </w:rPr>
        <w:t>Total reported nurse staffing on weekends was excessively high (&gt;12.0 HRD).</w:t>
      </w:r>
    </w:p>
    <w:p w14:paraId="4D1C5869" w14:textId="77777777" w:rsidR="005A709C" w:rsidRDefault="00B007F1">
      <w:pPr>
        <w:pStyle w:val="ListParagraph"/>
        <w:numPr>
          <w:ilvl w:val="0"/>
          <w:numId w:val="4"/>
        </w:numPr>
        <w:tabs>
          <w:tab w:val="left" w:pos="462"/>
        </w:tabs>
        <w:spacing w:before="31"/>
        <w:ind w:hanging="361"/>
        <w:rPr>
          <w:sz w:val="20"/>
        </w:rPr>
      </w:pPr>
      <w:r>
        <w:rPr>
          <w:sz w:val="20"/>
        </w:rPr>
        <w:t>The total reported nurse aide staffing on weekends was excessively high (&gt;5.25 HRD).</w:t>
      </w:r>
    </w:p>
    <w:p w14:paraId="53788823" w14:textId="77777777" w:rsidR="005A709C" w:rsidRDefault="00B007F1">
      <w:pPr>
        <w:pStyle w:val="BodyText"/>
        <w:spacing w:before="32"/>
        <w:ind w:left="101"/>
      </w:pPr>
      <w:r>
        <w:t>18. Other reason.</w:t>
      </w:r>
    </w:p>
    <w:p w14:paraId="520B984E" w14:textId="77777777" w:rsidR="005A709C" w:rsidRDefault="005A709C">
      <w:pPr>
        <w:pStyle w:val="BodyText"/>
      </w:pPr>
    </w:p>
    <w:p w14:paraId="21DED043" w14:textId="56785307" w:rsidR="005A709C" w:rsidRDefault="00B007F1">
      <w:pPr>
        <w:pStyle w:val="BodyText"/>
        <w:spacing w:before="5"/>
        <w:rPr>
          <w:sz w:val="16"/>
        </w:rPr>
      </w:pPr>
      <w:r>
        <w:rPr>
          <w:noProof/>
        </w:rPr>
        <mc:AlternateContent>
          <mc:Choice Requires="wps">
            <w:drawing>
              <wp:anchor distT="0" distB="0" distL="0" distR="0" simplePos="0" relativeHeight="251657728" behindDoc="1" locked="0" layoutInCell="1" allowOverlap="1" wp14:anchorId="20202A4D" wp14:editId="38A96AF0">
                <wp:simplePos x="0" y="0"/>
                <wp:positionH relativeFrom="page">
                  <wp:posOffset>737870</wp:posOffset>
                </wp:positionH>
                <wp:positionV relativeFrom="paragraph">
                  <wp:posOffset>152400</wp:posOffset>
                </wp:positionV>
                <wp:extent cx="5594350" cy="1270"/>
                <wp:effectExtent l="0" t="0" r="0" b="0"/>
                <wp:wrapTopAndBottom/>
                <wp:docPr id="80832927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0" cy="1270"/>
                        </a:xfrm>
                        <a:custGeom>
                          <a:avLst/>
                          <a:gdLst>
                            <a:gd name="T0" fmla="+- 0 1162 1162"/>
                            <a:gd name="T1" fmla="*/ T0 w 8810"/>
                            <a:gd name="T2" fmla="+- 0 9971 1162"/>
                            <a:gd name="T3" fmla="*/ T2 w 8810"/>
                          </a:gdLst>
                          <a:ahLst/>
                          <a:cxnLst>
                            <a:cxn ang="0">
                              <a:pos x="T1" y="0"/>
                            </a:cxn>
                            <a:cxn ang="0">
                              <a:pos x="T3" y="0"/>
                            </a:cxn>
                          </a:cxnLst>
                          <a:rect l="0" t="0" r="r" b="b"/>
                          <a:pathLst>
                            <a:path w="8810">
                              <a:moveTo>
                                <a:pt x="0" y="0"/>
                              </a:moveTo>
                              <a:lnTo>
                                <a:pt x="8809" y="0"/>
                              </a:lnTo>
                            </a:path>
                          </a:pathLst>
                        </a:custGeom>
                        <a:noFill/>
                        <a:ln w="135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10AEA" id="Freeform 2" o:spid="_x0000_s1026" style="position:absolute;margin-left:58.1pt;margin-top:12pt;width:44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" path="m,l8809,e" filled="f" strokeweight=".37678mm">
                <v:path arrowok="t" o:connecttype="custom" o:connectlocs="0,0;5593715,0" o:connectangles="0,0"/>
                <w10:wrap type="topAndBottom" anchorx="page"/>
              </v:shape>
            </w:pict>
          </mc:Fallback>
        </mc:AlternateContent>
      </w:r>
    </w:p>
    <w:p w14:paraId="7BE871B4" w14:textId="77777777" w:rsidR="005A709C" w:rsidRDefault="00B007F1">
      <w:pPr>
        <w:pStyle w:val="Heading3"/>
        <w:spacing w:before="153"/>
        <w:ind w:left="161"/>
      </w:pPr>
      <w:r>
        <w:t>Scoring Exceptions for the Staffing Rating</w:t>
      </w:r>
    </w:p>
    <w:p w14:paraId="1F5EFEA7" w14:textId="77777777" w:rsidR="005A709C" w:rsidRDefault="00B007F1">
      <w:pPr>
        <w:pStyle w:val="BodyText"/>
        <w:spacing w:before="178"/>
        <w:ind w:left="161"/>
      </w:pPr>
      <w:r>
        <w:t>The following criteria have been added to the usual scoring rules for assigning the staffing rating.</w:t>
      </w:r>
    </w:p>
    <w:p w14:paraId="1A5C14AD" w14:textId="77777777" w:rsidR="005A709C" w:rsidRDefault="00B007F1">
      <w:pPr>
        <w:pStyle w:val="ListParagraph"/>
        <w:numPr>
          <w:ilvl w:val="0"/>
          <w:numId w:val="3"/>
        </w:numPr>
        <w:tabs>
          <w:tab w:val="left" w:pos="522"/>
        </w:tabs>
        <w:spacing w:before="178"/>
        <w:ind w:right="480"/>
        <w:rPr>
          <w:sz w:val="20"/>
        </w:rPr>
      </w:pPr>
      <w:r>
        <w:rPr>
          <w:sz w:val="20"/>
        </w:rPr>
        <w:t xml:space="preserve">Providers that fail to submit any staffing data by the required deadline will receive a one-star staffing </w:t>
      </w:r>
      <w:r>
        <w:rPr>
          <w:spacing w:val="-6"/>
          <w:sz w:val="20"/>
        </w:rPr>
        <w:t xml:space="preserve">for </w:t>
      </w:r>
      <w:r>
        <w:rPr>
          <w:sz w:val="20"/>
        </w:rPr>
        <w:t>the quarter.</w:t>
      </w:r>
    </w:p>
    <w:p w14:paraId="5991F9AD" w14:textId="77777777" w:rsidR="005A709C" w:rsidRDefault="00B007F1">
      <w:pPr>
        <w:pStyle w:val="ListParagraph"/>
        <w:numPr>
          <w:ilvl w:val="0"/>
          <w:numId w:val="3"/>
        </w:numPr>
        <w:tabs>
          <w:tab w:val="left" w:pos="522"/>
        </w:tabs>
        <w:spacing w:before="30"/>
        <w:ind w:right="736"/>
        <w:rPr>
          <w:sz w:val="20"/>
        </w:rPr>
      </w:pPr>
      <w:r>
        <w:rPr>
          <w:sz w:val="20"/>
        </w:rPr>
        <w:t xml:space="preserve">Providers that submit staffing data indicating that there were four or more days in the quarter with </w:t>
      </w:r>
      <w:r>
        <w:rPr>
          <w:spacing w:val="-9"/>
          <w:sz w:val="20"/>
        </w:rPr>
        <w:t xml:space="preserve">no </w:t>
      </w:r>
      <w:r>
        <w:rPr>
          <w:sz w:val="20"/>
        </w:rPr>
        <w:t>RN staffing hours (job codes 5-7) on days when there were one or more residents in the facility, regardless of reported staffing levels, will receive a one-star staffing rating for the quarter.</w:t>
      </w:r>
    </w:p>
    <w:p w14:paraId="502450F7" w14:textId="77777777" w:rsidR="005A709C" w:rsidRDefault="00B007F1">
      <w:pPr>
        <w:pStyle w:val="ListParagraph"/>
        <w:numPr>
          <w:ilvl w:val="0"/>
          <w:numId w:val="3"/>
        </w:numPr>
        <w:tabs>
          <w:tab w:val="left" w:pos="522"/>
        </w:tabs>
        <w:spacing w:before="27"/>
        <w:ind w:right="424"/>
        <w:rPr>
          <w:sz w:val="20"/>
        </w:rPr>
      </w:pPr>
      <w:r>
        <w:rPr>
          <w:sz w:val="20"/>
        </w:rPr>
        <w:t xml:space="preserve">CMS conducts audits of nursing homes to verify the data submitted and to ensure accuracy. Facilities for which the audit identifies significant discrepancies between the hours reported and the hours </w:t>
      </w:r>
      <w:r>
        <w:rPr>
          <w:spacing w:val="-3"/>
          <w:sz w:val="20"/>
        </w:rPr>
        <w:t xml:space="preserve">verified </w:t>
      </w:r>
      <w:r>
        <w:rPr>
          <w:sz w:val="20"/>
        </w:rPr>
        <w:t>or those who fail to respond to an audit request will receive a one-star staffing rating.</w:t>
      </w:r>
    </w:p>
    <w:p w14:paraId="1C42FBE2" w14:textId="77777777" w:rsidR="005A709C" w:rsidRDefault="005A709C">
      <w:pPr>
        <w:rPr>
          <w:sz w:val="20"/>
        </w:rPr>
        <w:sectPr w:rsidR="005A709C">
          <w:pgSz w:w="12240" w:h="15840"/>
          <w:pgMar w:top="1020" w:right="1120" w:bottom="280" w:left="1000" w:header="805" w:footer="0" w:gutter="0"/>
          <w:cols w:space="720"/>
        </w:sectPr>
      </w:pPr>
    </w:p>
    <w:p w14:paraId="50C5D302" w14:textId="77777777" w:rsidR="005A709C" w:rsidRDefault="005A709C">
      <w:pPr>
        <w:pStyle w:val="BodyText"/>
        <w:spacing w:before="2"/>
        <w:rPr>
          <w:sz w:val="14"/>
        </w:rPr>
      </w:pPr>
    </w:p>
    <w:p w14:paraId="503CDF9F" w14:textId="77777777" w:rsidR="005A709C" w:rsidRDefault="00B007F1">
      <w:pPr>
        <w:pStyle w:val="Heading1"/>
      </w:pPr>
      <w:r>
        <w:t>Staffing Turnover</w:t>
      </w:r>
    </w:p>
    <w:p w14:paraId="4A5BC62E" w14:textId="77777777" w:rsidR="005A709C" w:rsidRDefault="00B007F1">
      <w:pPr>
        <w:pStyle w:val="BodyText"/>
        <w:spacing w:before="218"/>
        <w:ind w:left="197" w:right="473"/>
      </w:pPr>
      <w:r>
        <w:t>PBJ data from January 1, 2024 to June 30, 2025 are used to calculate annual nursing staff and RN turnover measures and to report the number of administrator turnovers among eligible administrators in the 12-month reporting period between April 1, 2024 to March 31, 2025. PBJ does not collect information on employee termination dates; instead a turnover is identified based on gaps in days worked. The turnover measures include employees and agency staff that have worked at least 120 hours at your facility in t</w:t>
      </w:r>
      <w:r>
        <w:t>he</w:t>
      </w:r>
    </w:p>
    <w:p w14:paraId="3DCEB05F" w14:textId="77777777" w:rsidR="005A709C" w:rsidRDefault="00B007F1">
      <w:pPr>
        <w:pStyle w:val="BodyText"/>
        <w:spacing w:line="237" w:lineRule="auto"/>
        <w:ind w:left="197" w:right="497"/>
      </w:pPr>
      <w:r>
        <w:t>90-day period starting from the first observed workday between January 1, 2024 to September 30, 2024. Individuals no longer associated with a nursing home are defined as eligible employees who have a period of 90 or more days during which they do not work at all. The data listed below report the nursing, RN, and administrator turnover measures for your facility April 1, 2024 to March 31, 2025. (Note that data from 2024Q1 - 2024Q3 are used to identify individuals who are eligible for the turnover measure, wh</w:t>
      </w:r>
      <w:r>
        <w:t>ile data from 2025Q2 are used to identify individuals who had a 90-day or more gap in days worked that started within the last 90 days of 2025Q1.)</w:t>
      </w:r>
    </w:p>
    <w:p w14:paraId="3D51084D" w14:textId="77777777" w:rsidR="005A709C" w:rsidRDefault="005A709C">
      <w:pPr>
        <w:pStyle w:val="BodyText"/>
        <w:spacing w:before="2"/>
        <w:rPr>
          <w:sz w:val="19"/>
        </w:rPr>
      </w:pPr>
    </w:p>
    <w:p w14:paraId="68B83901" w14:textId="77777777" w:rsidR="005A709C" w:rsidRDefault="00B007F1">
      <w:pPr>
        <w:pStyle w:val="BodyText"/>
        <w:ind w:left="197" w:right="464"/>
      </w:pPr>
      <w:r>
        <w:t xml:space="preserve">These turnover measures will be posted on Nursing Home Care Compare starting with the </w:t>
      </w:r>
      <w:r>
        <w:rPr>
          <w:b/>
        </w:rPr>
        <w:t xml:space="preserve">October 2025 </w:t>
      </w:r>
      <w:r>
        <w:t>update. The turnover measures are updated quarterly using a rolling 12-month period. Detailed information on how turnover is calculated is available in the Technical Users’ Guide. Find the link on the References Page of this report.</w:t>
      </w:r>
    </w:p>
    <w:p w14:paraId="7E6FBCB1" w14:textId="77777777" w:rsidR="005A709C" w:rsidRDefault="005A709C">
      <w:pPr>
        <w:pStyle w:val="BodyText"/>
        <w:spacing w:before="9" w:after="1"/>
      </w:pPr>
    </w:p>
    <w:tbl>
      <w:tblPr>
        <w:tblW w:w="0" w:type="auto"/>
        <w:tblInd w:w="521"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1920"/>
        <w:gridCol w:w="1730"/>
        <w:gridCol w:w="1730"/>
        <w:gridCol w:w="1730"/>
        <w:gridCol w:w="1730"/>
      </w:tblGrid>
      <w:tr w:rsidR="005A709C" w14:paraId="5D9E93EB" w14:textId="77777777">
        <w:trPr>
          <w:trHeight w:val="544"/>
        </w:trPr>
        <w:tc>
          <w:tcPr>
            <w:tcW w:w="8840" w:type="dxa"/>
            <w:gridSpan w:val="5"/>
          </w:tcPr>
          <w:p w14:paraId="1FA6D0A2" w14:textId="77777777" w:rsidR="005A709C" w:rsidRDefault="00B007F1">
            <w:pPr>
              <w:pStyle w:val="TableParagraph"/>
              <w:spacing w:before="17" w:line="247" w:lineRule="auto"/>
              <w:ind w:left="3086" w:right="1389" w:hanging="1673"/>
              <w:rPr>
                <w:b/>
                <w:sz w:val="20"/>
              </w:rPr>
            </w:pPr>
            <w:r>
              <w:rPr>
                <w:b/>
                <w:sz w:val="20"/>
              </w:rPr>
              <w:t xml:space="preserve">PBJ Nurse Staffing Turnover for April 1, 2024 to March 31, 2025 for Provider Number </w:t>
            </w:r>
            <w:r>
              <w:rPr>
                <w:b/>
                <w:color w:val="000080"/>
                <w:sz w:val="20"/>
              </w:rPr>
              <w:t>335127</w:t>
            </w:r>
          </w:p>
        </w:tc>
      </w:tr>
      <w:tr w:rsidR="005A709C" w14:paraId="417D5923" w14:textId="77777777">
        <w:trPr>
          <w:trHeight w:val="715"/>
        </w:trPr>
        <w:tc>
          <w:tcPr>
            <w:tcW w:w="1920" w:type="dxa"/>
          </w:tcPr>
          <w:p w14:paraId="279D79A3" w14:textId="77777777" w:rsidR="005A709C" w:rsidRDefault="005A709C">
            <w:pPr>
              <w:pStyle w:val="TableParagraph"/>
              <w:spacing w:before="0"/>
              <w:rPr>
                <w:rFonts w:ascii="Times New Roman"/>
                <w:sz w:val="18"/>
              </w:rPr>
            </w:pPr>
          </w:p>
        </w:tc>
        <w:tc>
          <w:tcPr>
            <w:tcW w:w="1730" w:type="dxa"/>
          </w:tcPr>
          <w:p w14:paraId="5F501ED5" w14:textId="77777777" w:rsidR="005A709C" w:rsidRDefault="005A709C">
            <w:pPr>
              <w:pStyle w:val="TableParagraph"/>
              <w:spacing w:before="0"/>
              <w:rPr>
                <w:sz w:val="20"/>
              </w:rPr>
            </w:pPr>
          </w:p>
          <w:p w14:paraId="1FBBA932" w14:textId="77777777" w:rsidR="005A709C" w:rsidRDefault="005A709C">
            <w:pPr>
              <w:pStyle w:val="TableParagraph"/>
              <w:spacing w:before="0"/>
              <w:rPr>
                <w:sz w:val="19"/>
              </w:rPr>
            </w:pPr>
          </w:p>
          <w:p w14:paraId="7D56B881" w14:textId="77777777" w:rsidR="005A709C" w:rsidRDefault="00B007F1">
            <w:pPr>
              <w:pStyle w:val="TableParagraph"/>
              <w:spacing w:before="0"/>
              <w:ind w:left="65" w:right="62"/>
              <w:jc w:val="center"/>
              <w:rPr>
                <w:b/>
                <w:sz w:val="18"/>
              </w:rPr>
            </w:pPr>
            <w:r>
              <w:rPr>
                <w:b/>
                <w:sz w:val="18"/>
              </w:rPr>
              <w:t>Turnover Rate</w:t>
            </w:r>
          </w:p>
        </w:tc>
        <w:tc>
          <w:tcPr>
            <w:tcW w:w="1730" w:type="dxa"/>
          </w:tcPr>
          <w:p w14:paraId="02F128CC" w14:textId="77777777" w:rsidR="005A709C" w:rsidRDefault="005A709C">
            <w:pPr>
              <w:pStyle w:val="TableParagraph"/>
              <w:spacing w:before="7"/>
              <w:rPr>
                <w:sz w:val="20"/>
              </w:rPr>
            </w:pPr>
          </w:p>
          <w:p w14:paraId="78B6DE5E" w14:textId="77777777" w:rsidR="005A709C" w:rsidRDefault="00B007F1">
            <w:pPr>
              <w:pStyle w:val="TableParagraph"/>
              <w:spacing w:before="1" w:line="244" w:lineRule="auto"/>
              <w:ind w:left="631" w:right="45" w:hanging="562"/>
              <w:rPr>
                <w:b/>
                <w:sz w:val="12"/>
              </w:rPr>
            </w:pPr>
            <w:r>
              <w:rPr>
                <w:b/>
                <w:sz w:val="18"/>
              </w:rPr>
              <w:t>Number of Eligible Staff</w:t>
            </w:r>
            <w:r>
              <w:rPr>
                <w:b/>
                <w:position w:val="5"/>
                <w:sz w:val="12"/>
              </w:rPr>
              <w:t>1</w:t>
            </w:r>
          </w:p>
        </w:tc>
        <w:tc>
          <w:tcPr>
            <w:tcW w:w="1730" w:type="dxa"/>
          </w:tcPr>
          <w:p w14:paraId="1A7DA833" w14:textId="77777777" w:rsidR="005A709C" w:rsidRDefault="00B007F1">
            <w:pPr>
              <w:pStyle w:val="TableParagraph"/>
              <w:spacing w:before="22" w:line="247" w:lineRule="auto"/>
              <w:ind w:left="70" w:right="62"/>
              <w:jc w:val="center"/>
              <w:rPr>
                <w:b/>
                <w:sz w:val="18"/>
              </w:rPr>
            </w:pPr>
            <w:r>
              <w:rPr>
                <w:b/>
                <w:sz w:val="18"/>
              </w:rPr>
              <w:t>Number of Eligible Staff Identified as Turned over</w:t>
            </w:r>
          </w:p>
        </w:tc>
        <w:tc>
          <w:tcPr>
            <w:tcW w:w="1730" w:type="dxa"/>
          </w:tcPr>
          <w:p w14:paraId="61AA743B" w14:textId="77777777" w:rsidR="005A709C" w:rsidRDefault="005A709C">
            <w:pPr>
              <w:pStyle w:val="TableParagraph"/>
              <w:spacing w:before="7"/>
              <w:rPr>
                <w:sz w:val="20"/>
              </w:rPr>
            </w:pPr>
          </w:p>
          <w:p w14:paraId="6339F51E" w14:textId="77777777" w:rsidR="005A709C" w:rsidRDefault="00B007F1">
            <w:pPr>
              <w:pStyle w:val="TableParagraph"/>
              <w:spacing w:before="1" w:line="244" w:lineRule="auto"/>
              <w:ind w:left="440" w:right="54" w:hanging="360"/>
              <w:rPr>
                <w:b/>
                <w:sz w:val="12"/>
              </w:rPr>
            </w:pPr>
            <w:r>
              <w:rPr>
                <w:b/>
                <w:sz w:val="18"/>
              </w:rPr>
              <w:t>Displayed on Care Compare</w:t>
            </w:r>
            <w:r>
              <w:rPr>
                <w:b/>
                <w:position w:val="5"/>
                <w:sz w:val="12"/>
              </w:rPr>
              <w:t>2</w:t>
            </w:r>
          </w:p>
        </w:tc>
      </w:tr>
      <w:tr w:rsidR="005A709C" w14:paraId="22E10DA2" w14:textId="77777777">
        <w:trPr>
          <w:trHeight w:val="290"/>
        </w:trPr>
        <w:tc>
          <w:tcPr>
            <w:tcW w:w="1920" w:type="dxa"/>
          </w:tcPr>
          <w:p w14:paraId="00D17A5F" w14:textId="77777777" w:rsidR="005A709C" w:rsidRDefault="00B007F1">
            <w:pPr>
              <w:pStyle w:val="TableParagraph"/>
              <w:spacing w:before="22"/>
              <w:ind w:left="59"/>
              <w:rPr>
                <w:sz w:val="18"/>
              </w:rPr>
            </w:pPr>
            <w:r>
              <w:rPr>
                <w:sz w:val="18"/>
              </w:rPr>
              <w:t>Nursing staff turnover</w:t>
            </w:r>
          </w:p>
        </w:tc>
        <w:tc>
          <w:tcPr>
            <w:tcW w:w="1730" w:type="dxa"/>
          </w:tcPr>
          <w:p w14:paraId="7F503C24" w14:textId="77777777" w:rsidR="005A709C" w:rsidRDefault="00B007F1">
            <w:pPr>
              <w:pStyle w:val="TableParagraph"/>
              <w:spacing w:before="22"/>
              <w:ind w:left="66" w:right="62"/>
              <w:jc w:val="center"/>
              <w:rPr>
                <w:sz w:val="18"/>
              </w:rPr>
            </w:pPr>
            <w:r>
              <w:rPr>
                <w:sz w:val="18"/>
              </w:rPr>
              <w:t>50.4%</w:t>
            </w:r>
          </w:p>
        </w:tc>
        <w:tc>
          <w:tcPr>
            <w:tcW w:w="1730" w:type="dxa"/>
          </w:tcPr>
          <w:p w14:paraId="442022AC" w14:textId="77777777" w:rsidR="005A709C" w:rsidRDefault="00B007F1">
            <w:pPr>
              <w:pStyle w:val="TableParagraph"/>
              <w:spacing w:before="22"/>
              <w:ind w:right="709"/>
              <w:jc w:val="right"/>
              <w:rPr>
                <w:sz w:val="18"/>
              </w:rPr>
            </w:pPr>
            <w:r>
              <w:rPr>
                <w:color w:val="000080"/>
                <w:sz w:val="18"/>
              </w:rPr>
              <w:t>127</w:t>
            </w:r>
          </w:p>
        </w:tc>
        <w:tc>
          <w:tcPr>
            <w:tcW w:w="1730" w:type="dxa"/>
          </w:tcPr>
          <w:p w14:paraId="1FDEED96" w14:textId="77777777" w:rsidR="005A709C" w:rsidRDefault="00B007F1">
            <w:pPr>
              <w:pStyle w:val="TableParagraph"/>
              <w:spacing w:before="22"/>
              <w:ind w:left="65" w:right="62"/>
              <w:jc w:val="center"/>
              <w:rPr>
                <w:sz w:val="18"/>
              </w:rPr>
            </w:pPr>
            <w:r>
              <w:rPr>
                <w:color w:val="000080"/>
                <w:sz w:val="18"/>
              </w:rPr>
              <w:t>64</w:t>
            </w:r>
          </w:p>
        </w:tc>
        <w:tc>
          <w:tcPr>
            <w:tcW w:w="1730" w:type="dxa"/>
          </w:tcPr>
          <w:p w14:paraId="464D69CF" w14:textId="77777777" w:rsidR="005A709C" w:rsidRDefault="00B007F1">
            <w:pPr>
              <w:pStyle w:val="TableParagraph"/>
              <w:spacing w:before="22"/>
              <w:ind w:left="65" w:right="62"/>
              <w:jc w:val="center"/>
              <w:rPr>
                <w:sz w:val="18"/>
              </w:rPr>
            </w:pPr>
            <w:r>
              <w:rPr>
                <w:color w:val="000080"/>
                <w:sz w:val="18"/>
              </w:rPr>
              <w:t>Yes</w:t>
            </w:r>
          </w:p>
        </w:tc>
      </w:tr>
      <w:tr w:rsidR="005A709C" w14:paraId="02A6A0FF" w14:textId="77777777">
        <w:trPr>
          <w:trHeight w:val="290"/>
        </w:trPr>
        <w:tc>
          <w:tcPr>
            <w:tcW w:w="1920" w:type="dxa"/>
          </w:tcPr>
          <w:p w14:paraId="2ED4B4C1" w14:textId="77777777" w:rsidR="005A709C" w:rsidRDefault="00B007F1">
            <w:pPr>
              <w:pStyle w:val="TableParagraph"/>
              <w:spacing w:before="22"/>
              <w:ind w:left="59"/>
              <w:rPr>
                <w:sz w:val="18"/>
              </w:rPr>
            </w:pPr>
            <w:r>
              <w:rPr>
                <w:sz w:val="18"/>
              </w:rPr>
              <w:t>RN turnover</w:t>
            </w:r>
          </w:p>
        </w:tc>
        <w:tc>
          <w:tcPr>
            <w:tcW w:w="1730" w:type="dxa"/>
          </w:tcPr>
          <w:p w14:paraId="31270CBB" w14:textId="77777777" w:rsidR="005A709C" w:rsidRDefault="00B007F1">
            <w:pPr>
              <w:pStyle w:val="TableParagraph"/>
              <w:spacing w:before="22"/>
              <w:ind w:left="66" w:right="62"/>
              <w:jc w:val="center"/>
              <w:rPr>
                <w:sz w:val="18"/>
              </w:rPr>
            </w:pPr>
            <w:r>
              <w:rPr>
                <w:sz w:val="18"/>
              </w:rPr>
              <w:t>11.8%</w:t>
            </w:r>
          </w:p>
        </w:tc>
        <w:tc>
          <w:tcPr>
            <w:tcW w:w="1730" w:type="dxa"/>
          </w:tcPr>
          <w:p w14:paraId="422039C0" w14:textId="77777777" w:rsidR="005A709C" w:rsidRDefault="00B007F1">
            <w:pPr>
              <w:pStyle w:val="TableParagraph"/>
              <w:spacing w:before="22"/>
              <w:ind w:right="759"/>
              <w:jc w:val="right"/>
              <w:rPr>
                <w:sz w:val="18"/>
              </w:rPr>
            </w:pPr>
            <w:r>
              <w:rPr>
                <w:color w:val="000080"/>
                <w:sz w:val="18"/>
              </w:rPr>
              <w:t>17</w:t>
            </w:r>
          </w:p>
        </w:tc>
        <w:tc>
          <w:tcPr>
            <w:tcW w:w="1730" w:type="dxa"/>
          </w:tcPr>
          <w:p w14:paraId="69545017" w14:textId="77777777" w:rsidR="005A709C" w:rsidRDefault="00B007F1">
            <w:pPr>
              <w:pStyle w:val="TableParagraph"/>
              <w:spacing w:before="22"/>
              <w:ind w:left="3"/>
              <w:jc w:val="center"/>
              <w:rPr>
                <w:sz w:val="18"/>
              </w:rPr>
            </w:pPr>
            <w:r>
              <w:rPr>
                <w:color w:val="000080"/>
                <w:sz w:val="18"/>
              </w:rPr>
              <w:t>2</w:t>
            </w:r>
          </w:p>
        </w:tc>
        <w:tc>
          <w:tcPr>
            <w:tcW w:w="1730" w:type="dxa"/>
          </w:tcPr>
          <w:p w14:paraId="62917E49" w14:textId="77777777" w:rsidR="005A709C" w:rsidRDefault="00B007F1">
            <w:pPr>
              <w:pStyle w:val="TableParagraph"/>
              <w:spacing w:before="22"/>
              <w:ind w:left="65" w:right="62"/>
              <w:jc w:val="center"/>
              <w:rPr>
                <w:sz w:val="18"/>
              </w:rPr>
            </w:pPr>
            <w:r>
              <w:rPr>
                <w:color w:val="000080"/>
                <w:sz w:val="18"/>
              </w:rPr>
              <w:t>Yes</w:t>
            </w:r>
          </w:p>
        </w:tc>
      </w:tr>
      <w:tr w:rsidR="005A709C" w14:paraId="43B0B1D8" w14:textId="77777777">
        <w:trPr>
          <w:trHeight w:val="290"/>
        </w:trPr>
        <w:tc>
          <w:tcPr>
            <w:tcW w:w="1920" w:type="dxa"/>
          </w:tcPr>
          <w:p w14:paraId="4D7B0E62" w14:textId="77777777" w:rsidR="005A709C" w:rsidRDefault="00B007F1">
            <w:pPr>
              <w:pStyle w:val="TableParagraph"/>
              <w:spacing w:before="22"/>
              <w:ind w:left="59"/>
              <w:rPr>
                <w:sz w:val="18"/>
              </w:rPr>
            </w:pPr>
            <w:r>
              <w:rPr>
                <w:sz w:val="18"/>
              </w:rPr>
              <w:t>Administrator turnover</w:t>
            </w:r>
          </w:p>
        </w:tc>
        <w:tc>
          <w:tcPr>
            <w:tcW w:w="1730" w:type="dxa"/>
            <w:shd w:val="clear" w:color="auto" w:fill="CCCCCC"/>
          </w:tcPr>
          <w:p w14:paraId="04E3A4D7" w14:textId="77777777" w:rsidR="005A709C" w:rsidRDefault="005A709C">
            <w:pPr>
              <w:pStyle w:val="TableParagraph"/>
              <w:spacing w:before="0"/>
              <w:rPr>
                <w:rFonts w:ascii="Times New Roman"/>
                <w:sz w:val="18"/>
              </w:rPr>
            </w:pPr>
          </w:p>
        </w:tc>
        <w:tc>
          <w:tcPr>
            <w:tcW w:w="1730" w:type="dxa"/>
          </w:tcPr>
          <w:p w14:paraId="2C37916A" w14:textId="77777777" w:rsidR="005A709C" w:rsidRDefault="00B007F1">
            <w:pPr>
              <w:pStyle w:val="TableParagraph"/>
              <w:spacing w:before="22"/>
              <w:ind w:right="683"/>
              <w:jc w:val="right"/>
              <w:rPr>
                <w:sz w:val="18"/>
              </w:rPr>
            </w:pPr>
            <w:r>
              <w:rPr>
                <w:color w:val="000080"/>
                <w:sz w:val="18"/>
              </w:rPr>
              <w:t>N.A.</w:t>
            </w:r>
          </w:p>
        </w:tc>
        <w:tc>
          <w:tcPr>
            <w:tcW w:w="1730" w:type="dxa"/>
          </w:tcPr>
          <w:p w14:paraId="6AD26A05" w14:textId="77777777" w:rsidR="005A709C" w:rsidRDefault="00B007F1">
            <w:pPr>
              <w:pStyle w:val="TableParagraph"/>
              <w:spacing w:before="22"/>
              <w:ind w:left="66" w:right="62"/>
              <w:jc w:val="center"/>
              <w:rPr>
                <w:sz w:val="18"/>
              </w:rPr>
            </w:pPr>
            <w:r>
              <w:rPr>
                <w:color w:val="000080"/>
                <w:sz w:val="18"/>
              </w:rPr>
              <w:t>N.A.</w:t>
            </w:r>
          </w:p>
        </w:tc>
        <w:tc>
          <w:tcPr>
            <w:tcW w:w="1730" w:type="dxa"/>
          </w:tcPr>
          <w:p w14:paraId="253A2BD8" w14:textId="77777777" w:rsidR="005A709C" w:rsidRDefault="00B007F1">
            <w:pPr>
              <w:pStyle w:val="TableParagraph"/>
              <w:spacing w:before="22"/>
              <w:ind w:left="66" w:right="62"/>
              <w:jc w:val="center"/>
              <w:rPr>
                <w:sz w:val="18"/>
              </w:rPr>
            </w:pPr>
            <w:r>
              <w:rPr>
                <w:color w:val="000080"/>
                <w:sz w:val="18"/>
              </w:rPr>
              <w:t>No - code 2</w:t>
            </w:r>
          </w:p>
        </w:tc>
      </w:tr>
    </w:tbl>
    <w:p w14:paraId="6CA38408" w14:textId="77777777" w:rsidR="005A709C" w:rsidRDefault="005A709C">
      <w:pPr>
        <w:pStyle w:val="BodyText"/>
        <w:spacing w:before="7"/>
        <w:rPr>
          <w:sz w:val="18"/>
        </w:rPr>
      </w:pPr>
    </w:p>
    <w:p w14:paraId="580D1B92" w14:textId="77777777" w:rsidR="005A709C" w:rsidRDefault="00B007F1">
      <w:pPr>
        <w:spacing w:line="183" w:lineRule="exact"/>
        <w:ind w:left="197"/>
        <w:rPr>
          <w:i/>
          <w:sz w:val="16"/>
        </w:rPr>
      </w:pPr>
      <w:r>
        <w:rPr>
          <w:i/>
          <w:sz w:val="16"/>
        </w:rPr>
        <w:t>N.A. = Not Available. N.A. in the table above indicates that the value could not be calculated based on the data submitted.</w:t>
      </w:r>
    </w:p>
    <w:p w14:paraId="09E782D7" w14:textId="77777777" w:rsidR="005A709C" w:rsidRDefault="00B007F1">
      <w:pPr>
        <w:ind w:left="197" w:right="520"/>
        <w:rPr>
          <w:i/>
          <w:sz w:val="16"/>
        </w:rPr>
      </w:pPr>
      <w:r>
        <w:rPr>
          <w:i/>
          <w:position w:val="5"/>
          <w:sz w:val="11"/>
        </w:rPr>
        <w:t>1</w:t>
      </w:r>
      <w:r>
        <w:rPr>
          <w:i/>
          <w:sz w:val="16"/>
        </w:rPr>
        <w:t>The number of eligible staff is based on a count of the number of eligible ‘employment spells.’ For more details on the methodology used to calculate nursing staff turnover, please see the measure specifications, available at the location listed in the references below.</w:t>
      </w:r>
    </w:p>
    <w:p w14:paraId="11931A92" w14:textId="77777777" w:rsidR="005A709C" w:rsidRDefault="00B007F1">
      <w:pPr>
        <w:ind w:left="197" w:right="658"/>
        <w:rPr>
          <w:i/>
          <w:sz w:val="16"/>
        </w:rPr>
      </w:pPr>
      <w:r>
        <w:rPr>
          <w:i/>
          <w:position w:val="5"/>
          <w:sz w:val="11"/>
        </w:rPr>
        <w:t>2</w:t>
      </w:r>
      <w:r>
        <w:rPr>
          <w:i/>
          <w:sz w:val="16"/>
        </w:rPr>
        <w:t>Some providers will see “Not Available” on the Care Compare website for one or more turnover measures if there is a “No” along with a code listed in this column of the table.</w:t>
      </w:r>
    </w:p>
    <w:p w14:paraId="536F09D0" w14:textId="77777777" w:rsidR="005A709C" w:rsidRDefault="005A709C">
      <w:pPr>
        <w:pStyle w:val="BodyText"/>
        <w:spacing w:before="1"/>
        <w:rPr>
          <w:i/>
          <w:sz w:val="17"/>
        </w:rPr>
      </w:pPr>
    </w:p>
    <w:p w14:paraId="65D841EF" w14:textId="77777777" w:rsidR="005A709C" w:rsidRDefault="00B007F1">
      <w:pPr>
        <w:pStyle w:val="Heading1"/>
        <w:spacing w:before="0"/>
        <w:ind w:left="175"/>
      </w:pPr>
      <w:r>
        <w:t>Availability of Turnover Data</w:t>
      </w:r>
    </w:p>
    <w:p w14:paraId="346651B4" w14:textId="77777777" w:rsidR="005A709C" w:rsidRDefault="00B007F1">
      <w:pPr>
        <w:pStyle w:val="BodyText"/>
        <w:spacing w:before="179"/>
        <w:ind w:left="175" w:right="654"/>
      </w:pPr>
      <w:r>
        <w:t>Some providers will see 'Not Available' for one or more of the turnover measures in the table above or on Care Compare. There are several reasons this could occur:</w:t>
      </w:r>
    </w:p>
    <w:p w14:paraId="54594519" w14:textId="77777777" w:rsidR="005A709C" w:rsidRDefault="00B007F1">
      <w:pPr>
        <w:pStyle w:val="Heading3"/>
        <w:spacing w:before="176"/>
        <w:ind w:left="175"/>
      </w:pPr>
      <w:r>
        <w:t>Nursing Staff and RN Turnover Exclusion Codes</w:t>
      </w:r>
    </w:p>
    <w:p w14:paraId="7FBCC0B2" w14:textId="77777777" w:rsidR="005A709C" w:rsidRDefault="00B007F1">
      <w:pPr>
        <w:pStyle w:val="ListParagraph"/>
        <w:numPr>
          <w:ilvl w:val="0"/>
          <w:numId w:val="2"/>
        </w:numPr>
        <w:tabs>
          <w:tab w:val="left" w:pos="536"/>
        </w:tabs>
        <w:ind w:left="535" w:right="799"/>
        <w:rPr>
          <w:sz w:val="20"/>
        </w:rPr>
      </w:pPr>
      <w:r>
        <w:rPr>
          <w:sz w:val="20"/>
        </w:rPr>
        <w:t xml:space="preserve">No data or invalid PBJ nursing data submitted for one of more quarters between January 1, 2024 </w:t>
      </w:r>
      <w:r>
        <w:rPr>
          <w:spacing w:val="-9"/>
          <w:sz w:val="20"/>
        </w:rPr>
        <w:t xml:space="preserve">to </w:t>
      </w:r>
      <w:r>
        <w:rPr>
          <w:sz w:val="20"/>
        </w:rPr>
        <w:t>June 30, 2025. See the table below for the quarters with missing or invalid PBJ data.</w:t>
      </w:r>
    </w:p>
    <w:p w14:paraId="07396D18" w14:textId="77777777" w:rsidR="005A709C" w:rsidRDefault="00B007F1">
      <w:pPr>
        <w:pStyle w:val="ListParagraph"/>
        <w:numPr>
          <w:ilvl w:val="0"/>
          <w:numId w:val="2"/>
        </w:numPr>
        <w:tabs>
          <w:tab w:val="left" w:pos="536"/>
        </w:tabs>
        <w:spacing w:before="29"/>
        <w:ind w:hanging="361"/>
        <w:rPr>
          <w:sz w:val="20"/>
        </w:rPr>
      </w:pPr>
      <w:r>
        <w:rPr>
          <w:sz w:val="20"/>
        </w:rPr>
        <w:t>Fewer than 5 eligible nurse (or RN) employees or agency staff.</w:t>
      </w:r>
    </w:p>
    <w:p w14:paraId="411AF215" w14:textId="77777777" w:rsidR="005A709C" w:rsidRDefault="00B007F1">
      <w:pPr>
        <w:pStyle w:val="ListParagraph"/>
        <w:numPr>
          <w:ilvl w:val="0"/>
          <w:numId w:val="2"/>
        </w:numPr>
        <w:tabs>
          <w:tab w:val="left" w:pos="536"/>
        </w:tabs>
        <w:ind w:left="535" w:right="487"/>
        <w:rPr>
          <w:sz w:val="20"/>
        </w:rPr>
      </w:pPr>
      <w:r>
        <w:rPr>
          <w:sz w:val="20"/>
        </w:rPr>
        <w:t>100% total nurse turnover on a single day. If you see this code in the table above, up to two dates on which it appears your nursing home had 100% turnover on a single day are listed below. In this case, you may need to submit data to link employee identifiers. See additional information on the References page of this report.</w:t>
      </w:r>
    </w:p>
    <w:p w14:paraId="41C5EA98" w14:textId="77777777" w:rsidR="005A709C" w:rsidRDefault="00B007F1">
      <w:pPr>
        <w:pStyle w:val="BodyText"/>
        <w:spacing w:before="26"/>
        <w:ind w:left="175"/>
      </w:pPr>
      <w:r>
        <w:t>18. Other reason.</w:t>
      </w:r>
    </w:p>
    <w:p w14:paraId="60C59053" w14:textId="77777777" w:rsidR="005A709C" w:rsidRDefault="005A709C">
      <w:pPr>
        <w:pStyle w:val="BodyText"/>
        <w:spacing w:before="9"/>
        <w:rPr>
          <w:sz w:val="23"/>
        </w:rPr>
      </w:pPr>
    </w:p>
    <w:p w14:paraId="163EA875" w14:textId="77777777" w:rsidR="005A709C" w:rsidRDefault="00B007F1">
      <w:pPr>
        <w:pStyle w:val="Heading3"/>
      </w:pPr>
      <w:r>
        <w:t>Days with 100% turnover for all nursing staff</w:t>
      </w:r>
    </w:p>
    <w:p w14:paraId="7CD13DFB" w14:textId="77777777" w:rsidR="005A709C" w:rsidRDefault="00B007F1">
      <w:pPr>
        <w:spacing w:before="180"/>
        <w:ind w:left="197"/>
        <w:rPr>
          <w:i/>
          <w:sz w:val="16"/>
        </w:rPr>
      </w:pPr>
      <w:r>
        <w:rPr>
          <w:i/>
          <w:color w:val="0000FF"/>
          <w:sz w:val="16"/>
        </w:rPr>
        <w:t>No Dates with 100% nurse turnover</w:t>
      </w:r>
    </w:p>
    <w:p w14:paraId="0243D035" w14:textId="77777777" w:rsidR="005A709C" w:rsidRDefault="005A709C">
      <w:pPr>
        <w:rPr>
          <w:sz w:val="16"/>
        </w:rPr>
        <w:sectPr w:rsidR="005A709C">
          <w:pgSz w:w="12240" w:h="15840"/>
          <w:pgMar w:top="1020" w:right="1120" w:bottom="280" w:left="1000" w:header="805" w:footer="0" w:gutter="0"/>
          <w:cols w:space="720"/>
        </w:sectPr>
      </w:pPr>
    </w:p>
    <w:p w14:paraId="7E9724D7" w14:textId="77777777" w:rsidR="005A709C" w:rsidRDefault="005A709C">
      <w:pPr>
        <w:pStyle w:val="BodyText"/>
        <w:rPr>
          <w:i/>
          <w:sz w:val="9"/>
        </w:rPr>
      </w:pPr>
    </w:p>
    <w:p w14:paraId="076D5707" w14:textId="77777777" w:rsidR="005A709C" w:rsidRDefault="00B007F1">
      <w:pPr>
        <w:spacing w:before="92"/>
        <w:ind w:left="125"/>
        <w:rPr>
          <w:b/>
          <w:i/>
          <w:sz w:val="24"/>
        </w:rPr>
      </w:pPr>
      <w:r>
        <w:rPr>
          <w:b/>
          <w:i/>
          <w:sz w:val="24"/>
        </w:rPr>
        <w:t>Availability of Turnover Data (continued)</w:t>
      </w:r>
    </w:p>
    <w:p w14:paraId="08B068F6" w14:textId="77777777" w:rsidR="005A709C" w:rsidRDefault="00B007F1">
      <w:pPr>
        <w:pStyle w:val="Heading3"/>
        <w:spacing w:before="179"/>
        <w:ind w:left="125"/>
      </w:pPr>
      <w:bookmarkStart w:id="1" w:name="The_Datastep_Procedure"/>
      <w:bookmarkStart w:id="2" w:name="Data_NULL_Table"/>
      <w:bookmarkEnd w:id="1"/>
      <w:bookmarkEnd w:id="2"/>
      <w:r>
        <w:t>Administrator Turnover Exclusion Codes</w:t>
      </w:r>
    </w:p>
    <w:p w14:paraId="72B7486E" w14:textId="77777777" w:rsidR="005A709C" w:rsidRDefault="00B007F1">
      <w:pPr>
        <w:pStyle w:val="ListParagraph"/>
        <w:numPr>
          <w:ilvl w:val="0"/>
          <w:numId w:val="1"/>
        </w:numPr>
        <w:tabs>
          <w:tab w:val="left" w:pos="486"/>
        </w:tabs>
        <w:ind w:right="849"/>
        <w:rPr>
          <w:sz w:val="20"/>
        </w:rPr>
      </w:pPr>
      <w:r>
        <w:rPr>
          <w:sz w:val="20"/>
        </w:rPr>
        <w:t xml:space="preserve">No data or invalid PBJ nursing data submitted for one of more quarters between January 1, 2024 </w:t>
      </w:r>
      <w:r>
        <w:rPr>
          <w:spacing w:val="-9"/>
          <w:sz w:val="20"/>
        </w:rPr>
        <w:t xml:space="preserve">to </w:t>
      </w:r>
      <w:r>
        <w:rPr>
          <w:sz w:val="20"/>
        </w:rPr>
        <w:t>June 30, 2025. See the table below for the quarters with missing or invalid PBJ data.</w:t>
      </w:r>
    </w:p>
    <w:p w14:paraId="7C62A476" w14:textId="77777777" w:rsidR="005A709C" w:rsidRDefault="00B007F1">
      <w:pPr>
        <w:pStyle w:val="ListParagraph"/>
        <w:numPr>
          <w:ilvl w:val="0"/>
          <w:numId w:val="1"/>
        </w:numPr>
        <w:tabs>
          <w:tab w:val="left" w:pos="486"/>
        </w:tabs>
        <w:spacing w:before="29"/>
        <w:ind w:right="638"/>
        <w:rPr>
          <w:sz w:val="20"/>
        </w:rPr>
      </w:pPr>
      <w:r>
        <w:rPr>
          <w:sz w:val="20"/>
        </w:rPr>
        <w:t xml:space="preserve">No administrator hours were submitted for one or more quarters between January 1, 2024 to June </w:t>
      </w:r>
      <w:r>
        <w:rPr>
          <w:spacing w:val="-6"/>
          <w:sz w:val="20"/>
        </w:rPr>
        <w:t xml:space="preserve">30, </w:t>
      </w:r>
      <w:r>
        <w:rPr>
          <w:sz w:val="20"/>
        </w:rPr>
        <w:t>2025. See the table below for the quarters with no administrator hours.</w:t>
      </w:r>
    </w:p>
    <w:p w14:paraId="6F4C307C" w14:textId="77777777" w:rsidR="005A709C" w:rsidRDefault="00B007F1">
      <w:pPr>
        <w:pStyle w:val="ListParagraph"/>
        <w:numPr>
          <w:ilvl w:val="0"/>
          <w:numId w:val="1"/>
        </w:numPr>
        <w:tabs>
          <w:tab w:val="left" w:pos="486"/>
        </w:tabs>
        <w:spacing w:before="30"/>
        <w:ind w:hanging="361"/>
        <w:rPr>
          <w:sz w:val="20"/>
        </w:rPr>
      </w:pPr>
      <w:r>
        <w:rPr>
          <w:sz w:val="20"/>
        </w:rPr>
        <w:t>No eligible administrator employees or agency staff.</w:t>
      </w:r>
    </w:p>
    <w:p w14:paraId="58ECFB5C" w14:textId="77777777" w:rsidR="005A709C" w:rsidRDefault="00B007F1">
      <w:pPr>
        <w:pStyle w:val="ListParagraph"/>
        <w:numPr>
          <w:ilvl w:val="0"/>
          <w:numId w:val="1"/>
        </w:numPr>
        <w:tabs>
          <w:tab w:val="left" w:pos="486"/>
        </w:tabs>
        <w:ind w:right="472"/>
        <w:rPr>
          <w:sz w:val="20"/>
        </w:rPr>
      </w:pPr>
      <w:r>
        <w:rPr>
          <w:sz w:val="20"/>
        </w:rPr>
        <w:t xml:space="preserve">Too many administrators: there are 4 or more days in one or more quarters between January 1, 2024 </w:t>
      </w:r>
      <w:r>
        <w:rPr>
          <w:spacing w:val="-9"/>
          <w:sz w:val="20"/>
        </w:rPr>
        <w:t xml:space="preserve">to </w:t>
      </w:r>
      <w:r>
        <w:rPr>
          <w:sz w:val="20"/>
        </w:rPr>
        <w:t>June 30, 2025 with five or more different people reported under job code 1 (administrator) on the same day.</w:t>
      </w:r>
    </w:p>
    <w:p w14:paraId="1673CB12" w14:textId="77777777" w:rsidR="005A709C" w:rsidRDefault="00B007F1">
      <w:pPr>
        <w:pStyle w:val="BodyText"/>
        <w:spacing w:before="27"/>
        <w:ind w:left="125"/>
      </w:pPr>
      <w:r>
        <w:t>18. Other reason</w:t>
      </w:r>
    </w:p>
    <w:p w14:paraId="7342326D" w14:textId="77777777" w:rsidR="005A709C" w:rsidRDefault="005A709C">
      <w:pPr>
        <w:pStyle w:val="BodyText"/>
        <w:spacing w:before="5"/>
        <w:rPr>
          <w:sz w:val="22"/>
        </w:rPr>
      </w:pPr>
    </w:p>
    <w:tbl>
      <w:tblPr>
        <w:tblW w:w="0" w:type="auto"/>
        <w:tblInd w:w="711"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3840"/>
        <w:gridCol w:w="770"/>
        <w:gridCol w:w="770"/>
        <w:gridCol w:w="770"/>
        <w:gridCol w:w="770"/>
        <w:gridCol w:w="770"/>
        <w:gridCol w:w="770"/>
      </w:tblGrid>
      <w:tr w:rsidR="005A709C" w14:paraId="774F9B84" w14:textId="77777777">
        <w:trPr>
          <w:trHeight w:val="544"/>
        </w:trPr>
        <w:tc>
          <w:tcPr>
            <w:tcW w:w="8460" w:type="dxa"/>
            <w:gridSpan w:val="7"/>
          </w:tcPr>
          <w:p w14:paraId="4D9564FA" w14:textId="77777777" w:rsidR="005A709C" w:rsidRDefault="00B007F1">
            <w:pPr>
              <w:pStyle w:val="TableParagraph"/>
              <w:spacing w:before="17" w:line="247" w:lineRule="auto"/>
              <w:ind w:left="2495" w:right="372" w:hanging="2045"/>
              <w:rPr>
                <w:b/>
                <w:sz w:val="20"/>
              </w:rPr>
            </w:pPr>
            <w:r>
              <w:rPr>
                <w:b/>
                <w:sz w:val="20"/>
              </w:rPr>
              <w:t>Your facility’s submission of valid PBJ nursing data and administrator hours for quarters used by turnover measures</w:t>
            </w:r>
          </w:p>
        </w:tc>
      </w:tr>
      <w:tr w:rsidR="005A709C" w14:paraId="46D7B794" w14:textId="77777777">
        <w:trPr>
          <w:trHeight w:val="273"/>
        </w:trPr>
        <w:tc>
          <w:tcPr>
            <w:tcW w:w="3840" w:type="dxa"/>
          </w:tcPr>
          <w:p w14:paraId="440E08D8" w14:textId="77777777" w:rsidR="005A709C" w:rsidRDefault="005A709C">
            <w:pPr>
              <w:pStyle w:val="TableParagraph"/>
              <w:spacing w:before="0"/>
              <w:rPr>
                <w:rFonts w:ascii="Times New Roman"/>
                <w:sz w:val="18"/>
              </w:rPr>
            </w:pPr>
          </w:p>
        </w:tc>
        <w:tc>
          <w:tcPr>
            <w:tcW w:w="770" w:type="dxa"/>
          </w:tcPr>
          <w:p w14:paraId="697623E7" w14:textId="77777777" w:rsidR="005A709C" w:rsidRDefault="00B007F1">
            <w:pPr>
              <w:pStyle w:val="TableParagraph"/>
              <w:ind w:left="76" w:right="74"/>
              <w:jc w:val="center"/>
              <w:rPr>
                <w:b/>
                <w:sz w:val="16"/>
              </w:rPr>
            </w:pPr>
            <w:r>
              <w:rPr>
                <w:b/>
                <w:sz w:val="16"/>
              </w:rPr>
              <w:t>2024Q1</w:t>
            </w:r>
          </w:p>
        </w:tc>
        <w:tc>
          <w:tcPr>
            <w:tcW w:w="770" w:type="dxa"/>
          </w:tcPr>
          <w:p w14:paraId="744C4229" w14:textId="77777777" w:rsidR="005A709C" w:rsidRDefault="00B007F1">
            <w:pPr>
              <w:pStyle w:val="TableParagraph"/>
              <w:ind w:left="77" w:right="74"/>
              <w:jc w:val="center"/>
              <w:rPr>
                <w:b/>
                <w:sz w:val="16"/>
              </w:rPr>
            </w:pPr>
            <w:r>
              <w:rPr>
                <w:b/>
                <w:sz w:val="16"/>
              </w:rPr>
              <w:t>2024Q2</w:t>
            </w:r>
          </w:p>
        </w:tc>
        <w:tc>
          <w:tcPr>
            <w:tcW w:w="770" w:type="dxa"/>
          </w:tcPr>
          <w:p w14:paraId="2C9318A8" w14:textId="77777777" w:rsidR="005A709C" w:rsidRDefault="00B007F1">
            <w:pPr>
              <w:pStyle w:val="TableParagraph"/>
              <w:ind w:left="78" w:right="74"/>
              <w:jc w:val="center"/>
              <w:rPr>
                <w:b/>
                <w:sz w:val="16"/>
              </w:rPr>
            </w:pPr>
            <w:r>
              <w:rPr>
                <w:b/>
                <w:sz w:val="16"/>
              </w:rPr>
              <w:t>2024Q3</w:t>
            </w:r>
          </w:p>
        </w:tc>
        <w:tc>
          <w:tcPr>
            <w:tcW w:w="770" w:type="dxa"/>
          </w:tcPr>
          <w:p w14:paraId="22259EF4" w14:textId="77777777" w:rsidR="005A709C" w:rsidRDefault="00B007F1">
            <w:pPr>
              <w:pStyle w:val="TableParagraph"/>
              <w:ind w:left="78" w:right="74"/>
              <w:jc w:val="center"/>
              <w:rPr>
                <w:b/>
                <w:sz w:val="16"/>
              </w:rPr>
            </w:pPr>
            <w:r>
              <w:rPr>
                <w:b/>
                <w:sz w:val="16"/>
              </w:rPr>
              <w:t>2024Q4</w:t>
            </w:r>
          </w:p>
        </w:tc>
        <w:tc>
          <w:tcPr>
            <w:tcW w:w="770" w:type="dxa"/>
          </w:tcPr>
          <w:p w14:paraId="184FB9C7" w14:textId="77777777" w:rsidR="005A709C" w:rsidRDefault="00B007F1">
            <w:pPr>
              <w:pStyle w:val="TableParagraph"/>
              <w:ind w:left="78" w:right="73"/>
              <w:jc w:val="center"/>
              <w:rPr>
                <w:b/>
                <w:sz w:val="16"/>
              </w:rPr>
            </w:pPr>
            <w:r>
              <w:rPr>
                <w:b/>
                <w:sz w:val="16"/>
              </w:rPr>
              <w:t>2025Q1</w:t>
            </w:r>
          </w:p>
        </w:tc>
        <w:tc>
          <w:tcPr>
            <w:tcW w:w="770" w:type="dxa"/>
          </w:tcPr>
          <w:p w14:paraId="4596D78B" w14:textId="77777777" w:rsidR="005A709C" w:rsidRDefault="00B007F1">
            <w:pPr>
              <w:pStyle w:val="TableParagraph"/>
              <w:ind w:left="78" w:right="72"/>
              <w:jc w:val="center"/>
              <w:rPr>
                <w:b/>
                <w:sz w:val="16"/>
              </w:rPr>
            </w:pPr>
            <w:r>
              <w:rPr>
                <w:b/>
                <w:sz w:val="16"/>
              </w:rPr>
              <w:t>2025Q2</w:t>
            </w:r>
          </w:p>
        </w:tc>
      </w:tr>
      <w:tr w:rsidR="005A709C" w14:paraId="6886356C" w14:textId="77777777">
        <w:trPr>
          <w:trHeight w:val="290"/>
        </w:trPr>
        <w:tc>
          <w:tcPr>
            <w:tcW w:w="3840" w:type="dxa"/>
          </w:tcPr>
          <w:p w14:paraId="5CAA7890" w14:textId="77777777" w:rsidR="005A709C" w:rsidRDefault="00B007F1">
            <w:pPr>
              <w:pStyle w:val="TableParagraph"/>
              <w:spacing w:before="22"/>
              <w:ind w:left="59"/>
              <w:rPr>
                <w:sz w:val="18"/>
              </w:rPr>
            </w:pPr>
            <w:r>
              <w:rPr>
                <w:sz w:val="18"/>
              </w:rPr>
              <w:t>Valid PBJ data submitted</w:t>
            </w:r>
          </w:p>
        </w:tc>
        <w:tc>
          <w:tcPr>
            <w:tcW w:w="770" w:type="dxa"/>
          </w:tcPr>
          <w:p w14:paraId="12E01750" w14:textId="77777777" w:rsidR="005A709C" w:rsidRDefault="00B007F1">
            <w:pPr>
              <w:pStyle w:val="TableParagraph"/>
              <w:spacing w:before="22"/>
              <w:ind w:left="74" w:right="74"/>
              <w:jc w:val="center"/>
              <w:rPr>
                <w:sz w:val="18"/>
              </w:rPr>
            </w:pPr>
            <w:r>
              <w:rPr>
                <w:color w:val="000080"/>
                <w:sz w:val="18"/>
              </w:rPr>
              <w:t>Yes</w:t>
            </w:r>
          </w:p>
        </w:tc>
        <w:tc>
          <w:tcPr>
            <w:tcW w:w="770" w:type="dxa"/>
          </w:tcPr>
          <w:p w14:paraId="39EB1A3A" w14:textId="77777777" w:rsidR="005A709C" w:rsidRDefault="00B007F1">
            <w:pPr>
              <w:pStyle w:val="TableParagraph"/>
              <w:spacing w:before="22"/>
              <w:ind w:left="75" w:right="74"/>
              <w:jc w:val="center"/>
              <w:rPr>
                <w:sz w:val="18"/>
              </w:rPr>
            </w:pPr>
            <w:r>
              <w:rPr>
                <w:color w:val="000080"/>
                <w:sz w:val="18"/>
              </w:rPr>
              <w:t>Yes</w:t>
            </w:r>
          </w:p>
        </w:tc>
        <w:tc>
          <w:tcPr>
            <w:tcW w:w="770" w:type="dxa"/>
          </w:tcPr>
          <w:p w14:paraId="0B59E576" w14:textId="77777777" w:rsidR="005A709C" w:rsidRDefault="00B007F1">
            <w:pPr>
              <w:pStyle w:val="TableParagraph"/>
              <w:spacing w:before="22"/>
              <w:ind w:left="76" w:right="74"/>
              <w:jc w:val="center"/>
              <w:rPr>
                <w:sz w:val="18"/>
              </w:rPr>
            </w:pPr>
            <w:r>
              <w:rPr>
                <w:color w:val="000080"/>
                <w:sz w:val="18"/>
              </w:rPr>
              <w:t>Yes</w:t>
            </w:r>
          </w:p>
        </w:tc>
        <w:tc>
          <w:tcPr>
            <w:tcW w:w="770" w:type="dxa"/>
          </w:tcPr>
          <w:p w14:paraId="12C490CC" w14:textId="77777777" w:rsidR="005A709C" w:rsidRDefault="00B007F1">
            <w:pPr>
              <w:pStyle w:val="TableParagraph"/>
              <w:spacing w:before="22"/>
              <w:ind w:left="77" w:right="74"/>
              <w:jc w:val="center"/>
              <w:rPr>
                <w:sz w:val="18"/>
              </w:rPr>
            </w:pPr>
            <w:r>
              <w:rPr>
                <w:color w:val="000080"/>
                <w:sz w:val="18"/>
              </w:rPr>
              <w:t>Yes</w:t>
            </w:r>
          </w:p>
        </w:tc>
        <w:tc>
          <w:tcPr>
            <w:tcW w:w="770" w:type="dxa"/>
          </w:tcPr>
          <w:p w14:paraId="19F3AD0A" w14:textId="77777777" w:rsidR="005A709C" w:rsidRDefault="00B007F1">
            <w:pPr>
              <w:pStyle w:val="TableParagraph"/>
              <w:spacing w:before="22"/>
              <w:ind w:left="78" w:right="74"/>
              <w:jc w:val="center"/>
              <w:rPr>
                <w:sz w:val="18"/>
              </w:rPr>
            </w:pPr>
            <w:r>
              <w:rPr>
                <w:color w:val="000080"/>
                <w:sz w:val="18"/>
              </w:rPr>
              <w:t>Yes</w:t>
            </w:r>
          </w:p>
        </w:tc>
        <w:tc>
          <w:tcPr>
            <w:tcW w:w="770" w:type="dxa"/>
          </w:tcPr>
          <w:p w14:paraId="344224B0" w14:textId="77777777" w:rsidR="005A709C" w:rsidRDefault="00B007F1">
            <w:pPr>
              <w:pStyle w:val="TableParagraph"/>
              <w:spacing w:before="22"/>
              <w:ind w:left="78" w:right="74"/>
              <w:jc w:val="center"/>
              <w:rPr>
                <w:sz w:val="18"/>
              </w:rPr>
            </w:pPr>
            <w:r>
              <w:rPr>
                <w:color w:val="000080"/>
                <w:sz w:val="18"/>
              </w:rPr>
              <w:t>Yes</w:t>
            </w:r>
          </w:p>
        </w:tc>
      </w:tr>
      <w:tr w:rsidR="005A709C" w14:paraId="3801B1A7" w14:textId="77777777">
        <w:trPr>
          <w:trHeight w:val="290"/>
        </w:trPr>
        <w:tc>
          <w:tcPr>
            <w:tcW w:w="3840" w:type="dxa"/>
          </w:tcPr>
          <w:p w14:paraId="7FBC66FE" w14:textId="77777777" w:rsidR="005A709C" w:rsidRDefault="00B007F1">
            <w:pPr>
              <w:pStyle w:val="TableParagraph"/>
              <w:spacing w:before="22"/>
              <w:ind w:left="59"/>
              <w:rPr>
                <w:sz w:val="18"/>
              </w:rPr>
            </w:pPr>
            <w:r>
              <w:rPr>
                <w:sz w:val="18"/>
              </w:rPr>
              <w:t>Administrator hours submitted</w:t>
            </w:r>
          </w:p>
        </w:tc>
        <w:tc>
          <w:tcPr>
            <w:tcW w:w="770" w:type="dxa"/>
          </w:tcPr>
          <w:p w14:paraId="79C81AA7" w14:textId="77777777" w:rsidR="005A709C" w:rsidRDefault="00B007F1">
            <w:pPr>
              <w:pStyle w:val="TableParagraph"/>
              <w:spacing w:before="22"/>
              <w:ind w:left="74" w:right="74"/>
              <w:jc w:val="center"/>
              <w:rPr>
                <w:sz w:val="18"/>
              </w:rPr>
            </w:pPr>
            <w:r>
              <w:rPr>
                <w:color w:val="000080"/>
                <w:sz w:val="18"/>
              </w:rPr>
              <w:t>Yes</w:t>
            </w:r>
          </w:p>
        </w:tc>
        <w:tc>
          <w:tcPr>
            <w:tcW w:w="770" w:type="dxa"/>
          </w:tcPr>
          <w:p w14:paraId="0CB36697" w14:textId="77777777" w:rsidR="005A709C" w:rsidRDefault="00B007F1">
            <w:pPr>
              <w:pStyle w:val="TableParagraph"/>
              <w:spacing w:before="22"/>
              <w:ind w:left="75" w:right="74"/>
              <w:jc w:val="center"/>
              <w:rPr>
                <w:sz w:val="18"/>
              </w:rPr>
            </w:pPr>
            <w:r>
              <w:rPr>
                <w:color w:val="000080"/>
                <w:sz w:val="18"/>
              </w:rPr>
              <w:t>Yes</w:t>
            </w:r>
          </w:p>
        </w:tc>
        <w:tc>
          <w:tcPr>
            <w:tcW w:w="770" w:type="dxa"/>
          </w:tcPr>
          <w:p w14:paraId="59737450" w14:textId="77777777" w:rsidR="005A709C" w:rsidRDefault="00B007F1">
            <w:pPr>
              <w:pStyle w:val="TableParagraph"/>
              <w:spacing w:before="22"/>
              <w:ind w:left="76" w:right="74"/>
              <w:jc w:val="center"/>
              <w:rPr>
                <w:sz w:val="18"/>
              </w:rPr>
            </w:pPr>
            <w:r>
              <w:rPr>
                <w:color w:val="000080"/>
                <w:sz w:val="18"/>
              </w:rPr>
              <w:t>Yes</w:t>
            </w:r>
          </w:p>
        </w:tc>
        <w:tc>
          <w:tcPr>
            <w:tcW w:w="770" w:type="dxa"/>
          </w:tcPr>
          <w:p w14:paraId="3D420983" w14:textId="77777777" w:rsidR="005A709C" w:rsidRDefault="00B007F1">
            <w:pPr>
              <w:pStyle w:val="TableParagraph"/>
              <w:spacing w:before="22"/>
              <w:ind w:left="77" w:right="74"/>
              <w:jc w:val="center"/>
              <w:rPr>
                <w:sz w:val="18"/>
              </w:rPr>
            </w:pPr>
            <w:r>
              <w:rPr>
                <w:color w:val="000080"/>
                <w:sz w:val="18"/>
              </w:rPr>
              <w:t>Yes</w:t>
            </w:r>
          </w:p>
        </w:tc>
        <w:tc>
          <w:tcPr>
            <w:tcW w:w="770" w:type="dxa"/>
          </w:tcPr>
          <w:p w14:paraId="2973C85F" w14:textId="77777777" w:rsidR="005A709C" w:rsidRDefault="00B007F1">
            <w:pPr>
              <w:pStyle w:val="TableParagraph"/>
              <w:spacing w:before="22"/>
              <w:ind w:left="78" w:right="73"/>
              <w:jc w:val="center"/>
              <w:rPr>
                <w:sz w:val="18"/>
              </w:rPr>
            </w:pPr>
            <w:r>
              <w:rPr>
                <w:color w:val="000080"/>
                <w:sz w:val="18"/>
              </w:rPr>
              <w:t>No</w:t>
            </w:r>
          </w:p>
        </w:tc>
        <w:tc>
          <w:tcPr>
            <w:tcW w:w="770" w:type="dxa"/>
          </w:tcPr>
          <w:p w14:paraId="59DABFEC" w14:textId="77777777" w:rsidR="005A709C" w:rsidRDefault="00B007F1">
            <w:pPr>
              <w:pStyle w:val="TableParagraph"/>
              <w:spacing w:before="22"/>
              <w:ind w:left="78" w:right="72"/>
              <w:jc w:val="center"/>
              <w:rPr>
                <w:sz w:val="18"/>
              </w:rPr>
            </w:pPr>
            <w:r>
              <w:rPr>
                <w:color w:val="000080"/>
                <w:sz w:val="18"/>
              </w:rPr>
              <w:t>No</w:t>
            </w:r>
          </w:p>
        </w:tc>
      </w:tr>
    </w:tbl>
    <w:p w14:paraId="3409233E" w14:textId="77777777" w:rsidR="005A709C" w:rsidRDefault="005A709C">
      <w:pPr>
        <w:pStyle w:val="BodyText"/>
        <w:rPr>
          <w:sz w:val="22"/>
        </w:rPr>
      </w:pPr>
    </w:p>
    <w:p w14:paraId="5D99D79D" w14:textId="77777777" w:rsidR="005A709C" w:rsidRDefault="00B007F1">
      <w:pPr>
        <w:spacing w:before="146"/>
        <w:ind w:left="257" w:right="520"/>
        <w:rPr>
          <w:i/>
          <w:sz w:val="16"/>
        </w:rPr>
      </w:pPr>
      <w:r>
        <w:rPr>
          <w:i/>
          <w:sz w:val="16"/>
        </w:rPr>
        <w:t>Note that in rare cases, turnover data may be reported on Care Compare even if one or more of the indicators of valid PBJ data in the table above is “No”. This may occur if the data were later verified by a CMS audit.</w:t>
      </w:r>
    </w:p>
    <w:p w14:paraId="71F196EC" w14:textId="77777777" w:rsidR="005A709C" w:rsidRDefault="005A709C">
      <w:pPr>
        <w:pStyle w:val="BodyText"/>
        <w:rPr>
          <w:i/>
          <w:sz w:val="23"/>
        </w:rPr>
      </w:pPr>
    </w:p>
    <w:p w14:paraId="5C37C35C" w14:textId="77777777" w:rsidR="005A709C" w:rsidRDefault="00B007F1">
      <w:pPr>
        <w:pStyle w:val="Heading3"/>
      </w:pPr>
      <w:r>
        <w:t>Staffing Measures that are Used in the Staffing Rating</w:t>
      </w:r>
    </w:p>
    <w:p w14:paraId="624E825A" w14:textId="77777777" w:rsidR="005A709C" w:rsidRDefault="005A709C">
      <w:pPr>
        <w:pStyle w:val="BodyText"/>
        <w:spacing w:before="7"/>
        <w:rPr>
          <w:b/>
          <w:sz w:val="19"/>
        </w:rPr>
      </w:pPr>
    </w:p>
    <w:p w14:paraId="78EBA00B" w14:textId="77777777" w:rsidR="005A709C" w:rsidRDefault="00B007F1">
      <w:pPr>
        <w:pStyle w:val="BodyText"/>
        <w:ind w:left="197" w:right="493"/>
      </w:pPr>
      <w:r>
        <w:t>The table below shows the six specific staffing measures that are used to calculate the staffing rating, along with the measure values and the points assigned for each measure for your facility as well as the maximum number of points possible for each measure. The raw point total is the sum of the points for the individual measures. If the turnover measures are not available due to missing or invalid data, your facility will receive the minimum points for the corresponding turnover measures. If the turnover</w:t>
      </w:r>
      <w:r>
        <w:t xml:space="preserve"> measures are not available for another reason, then the total score is rescaled so the maximum possible score for your facility is still 380 points. The rescaled score is used to assign the staffing rating. Please see the Technical Users’ Guide for additional details including the cut point tables for each of the measures and for the total rescaled score.</w:t>
      </w:r>
    </w:p>
    <w:p w14:paraId="0267AEAD" w14:textId="77777777" w:rsidR="005A709C" w:rsidRDefault="005A709C">
      <w:pPr>
        <w:pStyle w:val="BodyText"/>
      </w:pPr>
    </w:p>
    <w:tbl>
      <w:tblPr>
        <w:tblW w:w="0" w:type="auto"/>
        <w:tblInd w:w="524"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3648"/>
        <w:gridCol w:w="1730"/>
        <w:gridCol w:w="1730"/>
        <w:gridCol w:w="1730"/>
      </w:tblGrid>
      <w:tr w:rsidR="005A709C" w14:paraId="778167A9" w14:textId="77777777">
        <w:trPr>
          <w:trHeight w:val="307"/>
        </w:trPr>
        <w:tc>
          <w:tcPr>
            <w:tcW w:w="3648" w:type="dxa"/>
            <w:vMerge w:val="restart"/>
          </w:tcPr>
          <w:p w14:paraId="5EA4CCE2" w14:textId="77777777" w:rsidR="005A709C" w:rsidRDefault="005A709C">
            <w:pPr>
              <w:pStyle w:val="TableParagraph"/>
              <w:spacing w:before="7"/>
              <w:rPr>
                <w:sz w:val="28"/>
              </w:rPr>
            </w:pPr>
          </w:p>
          <w:p w14:paraId="7354D01E" w14:textId="77777777" w:rsidR="005A709C" w:rsidRDefault="00B007F1">
            <w:pPr>
              <w:pStyle w:val="TableParagraph"/>
              <w:spacing w:before="0"/>
              <w:ind w:left="1017"/>
              <w:rPr>
                <w:b/>
                <w:sz w:val="20"/>
              </w:rPr>
            </w:pPr>
            <w:r>
              <w:rPr>
                <w:b/>
                <w:sz w:val="20"/>
              </w:rPr>
              <w:t>Staffing Measure</w:t>
            </w:r>
          </w:p>
        </w:tc>
        <w:tc>
          <w:tcPr>
            <w:tcW w:w="3460" w:type="dxa"/>
            <w:gridSpan w:val="2"/>
          </w:tcPr>
          <w:p w14:paraId="17C113D3" w14:textId="77777777" w:rsidR="005A709C" w:rsidRDefault="00B007F1">
            <w:pPr>
              <w:pStyle w:val="TableParagraph"/>
              <w:spacing w:before="17"/>
              <w:ind w:left="527"/>
              <w:rPr>
                <w:b/>
                <w:sz w:val="20"/>
              </w:rPr>
            </w:pPr>
            <w:r>
              <w:rPr>
                <w:b/>
                <w:sz w:val="20"/>
              </w:rPr>
              <w:t>Data for Provider</w:t>
            </w:r>
            <w:r>
              <w:rPr>
                <w:b/>
                <w:spacing w:val="54"/>
                <w:sz w:val="20"/>
              </w:rPr>
              <w:t xml:space="preserve"> </w:t>
            </w:r>
            <w:r>
              <w:rPr>
                <w:b/>
                <w:color w:val="000080"/>
                <w:sz w:val="20"/>
              </w:rPr>
              <w:t>335127</w:t>
            </w:r>
          </w:p>
        </w:tc>
        <w:tc>
          <w:tcPr>
            <w:tcW w:w="1730" w:type="dxa"/>
            <w:vMerge w:val="restart"/>
          </w:tcPr>
          <w:p w14:paraId="6522421E" w14:textId="77777777" w:rsidR="005A709C" w:rsidRDefault="00B007F1">
            <w:pPr>
              <w:pStyle w:val="TableParagraph"/>
              <w:spacing w:before="17"/>
              <w:ind w:left="70" w:right="12"/>
              <w:jc w:val="center"/>
              <w:rPr>
                <w:b/>
                <w:sz w:val="20"/>
              </w:rPr>
            </w:pPr>
            <w:r>
              <w:rPr>
                <w:b/>
                <w:sz w:val="20"/>
              </w:rPr>
              <w:t>Maximum</w:t>
            </w:r>
          </w:p>
          <w:p w14:paraId="6E4F6923" w14:textId="77777777" w:rsidR="005A709C" w:rsidRDefault="00B007F1">
            <w:pPr>
              <w:pStyle w:val="TableParagraph"/>
              <w:spacing w:before="82"/>
              <w:ind w:left="67" w:right="62"/>
              <w:jc w:val="center"/>
              <w:rPr>
                <w:b/>
                <w:sz w:val="20"/>
              </w:rPr>
            </w:pPr>
            <w:r>
              <w:rPr>
                <w:b/>
                <w:sz w:val="20"/>
              </w:rPr>
              <w:t>Possible Points</w:t>
            </w:r>
          </w:p>
        </w:tc>
      </w:tr>
      <w:tr w:rsidR="005A709C" w14:paraId="48264275" w14:textId="77777777">
        <w:trPr>
          <w:trHeight w:val="306"/>
        </w:trPr>
        <w:tc>
          <w:tcPr>
            <w:tcW w:w="3648" w:type="dxa"/>
            <w:vMerge/>
            <w:tcBorders>
              <w:top w:val="nil"/>
            </w:tcBorders>
          </w:tcPr>
          <w:p w14:paraId="3A72B9A7" w14:textId="77777777" w:rsidR="005A709C" w:rsidRDefault="005A709C">
            <w:pPr>
              <w:rPr>
                <w:sz w:val="2"/>
                <w:szCs w:val="2"/>
              </w:rPr>
            </w:pPr>
          </w:p>
        </w:tc>
        <w:tc>
          <w:tcPr>
            <w:tcW w:w="1730" w:type="dxa"/>
          </w:tcPr>
          <w:p w14:paraId="5E490DDD" w14:textId="77777777" w:rsidR="005A709C" w:rsidRDefault="00B007F1">
            <w:pPr>
              <w:pStyle w:val="TableParagraph"/>
              <w:spacing w:before="17"/>
              <w:ind w:left="63" w:right="62"/>
              <w:jc w:val="center"/>
              <w:rPr>
                <w:b/>
                <w:sz w:val="20"/>
              </w:rPr>
            </w:pPr>
            <w:r>
              <w:rPr>
                <w:b/>
                <w:sz w:val="20"/>
              </w:rPr>
              <w:t>Measure Value</w:t>
            </w:r>
          </w:p>
        </w:tc>
        <w:tc>
          <w:tcPr>
            <w:tcW w:w="1730" w:type="dxa"/>
          </w:tcPr>
          <w:p w14:paraId="33A5BB17" w14:textId="77777777" w:rsidR="005A709C" w:rsidRDefault="00B007F1">
            <w:pPr>
              <w:pStyle w:val="TableParagraph"/>
              <w:spacing w:before="17"/>
              <w:ind w:left="67" w:right="62"/>
              <w:jc w:val="center"/>
              <w:rPr>
                <w:b/>
                <w:sz w:val="20"/>
              </w:rPr>
            </w:pPr>
            <w:r>
              <w:rPr>
                <w:b/>
                <w:sz w:val="20"/>
              </w:rPr>
              <w:t>Points</w:t>
            </w:r>
          </w:p>
        </w:tc>
        <w:tc>
          <w:tcPr>
            <w:tcW w:w="1730" w:type="dxa"/>
            <w:vMerge/>
            <w:tcBorders>
              <w:top w:val="nil"/>
            </w:tcBorders>
          </w:tcPr>
          <w:p w14:paraId="78073918" w14:textId="77777777" w:rsidR="005A709C" w:rsidRDefault="005A709C">
            <w:pPr>
              <w:rPr>
                <w:sz w:val="2"/>
                <w:szCs w:val="2"/>
              </w:rPr>
            </w:pPr>
          </w:p>
        </w:tc>
      </w:tr>
      <w:tr w:rsidR="005A709C" w14:paraId="5123EE52" w14:textId="77777777">
        <w:trPr>
          <w:trHeight w:val="307"/>
        </w:trPr>
        <w:tc>
          <w:tcPr>
            <w:tcW w:w="3648" w:type="dxa"/>
          </w:tcPr>
          <w:p w14:paraId="7ED05C57" w14:textId="77777777" w:rsidR="005A709C" w:rsidRDefault="00B007F1">
            <w:pPr>
              <w:pStyle w:val="TableParagraph"/>
              <w:spacing w:before="17"/>
              <w:ind w:left="59"/>
              <w:rPr>
                <w:sz w:val="20"/>
              </w:rPr>
            </w:pPr>
            <w:r>
              <w:rPr>
                <w:sz w:val="20"/>
              </w:rPr>
              <w:t>Adjusted Total nurse staffing (7 day)</w:t>
            </w:r>
          </w:p>
        </w:tc>
        <w:tc>
          <w:tcPr>
            <w:tcW w:w="1730" w:type="dxa"/>
          </w:tcPr>
          <w:p w14:paraId="1A736DA5" w14:textId="77777777" w:rsidR="005A709C" w:rsidRDefault="00B007F1">
            <w:pPr>
              <w:pStyle w:val="TableParagraph"/>
              <w:spacing w:before="17"/>
              <w:ind w:left="66" w:right="62"/>
              <w:jc w:val="center"/>
              <w:rPr>
                <w:sz w:val="20"/>
              </w:rPr>
            </w:pPr>
            <w:r>
              <w:rPr>
                <w:sz w:val="20"/>
              </w:rPr>
              <w:t>4.429</w:t>
            </w:r>
          </w:p>
        </w:tc>
        <w:tc>
          <w:tcPr>
            <w:tcW w:w="1730" w:type="dxa"/>
          </w:tcPr>
          <w:p w14:paraId="5942061E" w14:textId="77777777" w:rsidR="005A709C" w:rsidRDefault="00B007F1">
            <w:pPr>
              <w:pStyle w:val="TableParagraph"/>
              <w:spacing w:before="17"/>
              <w:ind w:left="67" w:right="62"/>
              <w:jc w:val="center"/>
              <w:rPr>
                <w:sz w:val="20"/>
              </w:rPr>
            </w:pPr>
            <w:r>
              <w:rPr>
                <w:sz w:val="20"/>
              </w:rPr>
              <w:t>80</w:t>
            </w:r>
          </w:p>
        </w:tc>
        <w:tc>
          <w:tcPr>
            <w:tcW w:w="1730" w:type="dxa"/>
          </w:tcPr>
          <w:p w14:paraId="54F1890F" w14:textId="77777777" w:rsidR="005A709C" w:rsidRDefault="00B007F1">
            <w:pPr>
              <w:pStyle w:val="TableParagraph"/>
              <w:spacing w:before="17"/>
              <w:ind w:left="64" w:right="62"/>
              <w:jc w:val="center"/>
              <w:rPr>
                <w:sz w:val="20"/>
              </w:rPr>
            </w:pPr>
            <w:r>
              <w:rPr>
                <w:sz w:val="20"/>
              </w:rPr>
              <w:t>100</w:t>
            </w:r>
          </w:p>
        </w:tc>
      </w:tr>
      <w:tr w:rsidR="005A709C" w14:paraId="389713E1" w14:textId="77777777">
        <w:trPr>
          <w:trHeight w:val="306"/>
        </w:trPr>
        <w:tc>
          <w:tcPr>
            <w:tcW w:w="3648" w:type="dxa"/>
          </w:tcPr>
          <w:p w14:paraId="6A7AB2E0" w14:textId="77777777" w:rsidR="005A709C" w:rsidRDefault="00B007F1">
            <w:pPr>
              <w:pStyle w:val="TableParagraph"/>
              <w:spacing w:before="17"/>
              <w:ind w:left="59"/>
              <w:rPr>
                <w:sz w:val="20"/>
              </w:rPr>
            </w:pPr>
            <w:r>
              <w:rPr>
                <w:sz w:val="20"/>
              </w:rPr>
              <w:t>Adjusted RN staffing (7 day)</w:t>
            </w:r>
          </w:p>
        </w:tc>
        <w:tc>
          <w:tcPr>
            <w:tcW w:w="1730" w:type="dxa"/>
          </w:tcPr>
          <w:p w14:paraId="002D3B95" w14:textId="77777777" w:rsidR="005A709C" w:rsidRDefault="00B007F1">
            <w:pPr>
              <w:pStyle w:val="TableParagraph"/>
              <w:spacing w:before="17"/>
              <w:ind w:left="66" w:right="62"/>
              <w:jc w:val="center"/>
              <w:rPr>
                <w:sz w:val="20"/>
              </w:rPr>
            </w:pPr>
            <w:r>
              <w:rPr>
                <w:sz w:val="20"/>
              </w:rPr>
              <w:t>0.739</w:t>
            </w:r>
          </w:p>
        </w:tc>
        <w:tc>
          <w:tcPr>
            <w:tcW w:w="1730" w:type="dxa"/>
          </w:tcPr>
          <w:p w14:paraId="62536E70" w14:textId="77777777" w:rsidR="005A709C" w:rsidRDefault="00B007F1">
            <w:pPr>
              <w:pStyle w:val="TableParagraph"/>
              <w:spacing w:before="17"/>
              <w:ind w:left="67" w:right="62"/>
              <w:jc w:val="center"/>
              <w:rPr>
                <w:sz w:val="20"/>
              </w:rPr>
            </w:pPr>
            <w:r>
              <w:rPr>
                <w:sz w:val="20"/>
              </w:rPr>
              <w:t>70</w:t>
            </w:r>
          </w:p>
        </w:tc>
        <w:tc>
          <w:tcPr>
            <w:tcW w:w="1730" w:type="dxa"/>
          </w:tcPr>
          <w:p w14:paraId="35C09814" w14:textId="77777777" w:rsidR="005A709C" w:rsidRDefault="00B007F1">
            <w:pPr>
              <w:pStyle w:val="TableParagraph"/>
              <w:spacing w:before="17"/>
              <w:ind w:left="64" w:right="62"/>
              <w:jc w:val="center"/>
              <w:rPr>
                <w:sz w:val="20"/>
              </w:rPr>
            </w:pPr>
            <w:r>
              <w:rPr>
                <w:sz w:val="20"/>
              </w:rPr>
              <w:t>100</w:t>
            </w:r>
          </w:p>
        </w:tc>
      </w:tr>
      <w:tr w:rsidR="005A709C" w14:paraId="23E84A8B" w14:textId="77777777">
        <w:trPr>
          <w:trHeight w:val="535"/>
        </w:trPr>
        <w:tc>
          <w:tcPr>
            <w:tcW w:w="3648" w:type="dxa"/>
          </w:tcPr>
          <w:p w14:paraId="16E265B3" w14:textId="77777777" w:rsidR="005A709C" w:rsidRDefault="00B007F1">
            <w:pPr>
              <w:pStyle w:val="TableParagraph"/>
              <w:spacing w:before="17"/>
              <w:ind w:left="59" w:right="1029"/>
              <w:rPr>
                <w:sz w:val="20"/>
              </w:rPr>
            </w:pPr>
            <w:r>
              <w:rPr>
                <w:sz w:val="20"/>
              </w:rPr>
              <w:t>Adjusted Total nurse staffing (weekends)</w:t>
            </w:r>
          </w:p>
        </w:tc>
        <w:tc>
          <w:tcPr>
            <w:tcW w:w="1730" w:type="dxa"/>
          </w:tcPr>
          <w:p w14:paraId="06643808" w14:textId="77777777" w:rsidR="005A709C" w:rsidRDefault="00B007F1">
            <w:pPr>
              <w:pStyle w:val="TableParagraph"/>
              <w:spacing w:before="17"/>
              <w:ind w:left="66" w:right="62"/>
              <w:jc w:val="center"/>
              <w:rPr>
                <w:sz w:val="20"/>
              </w:rPr>
            </w:pPr>
            <w:r>
              <w:rPr>
                <w:sz w:val="20"/>
              </w:rPr>
              <w:t>4.097</w:t>
            </w:r>
          </w:p>
        </w:tc>
        <w:tc>
          <w:tcPr>
            <w:tcW w:w="1730" w:type="dxa"/>
          </w:tcPr>
          <w:p w14:paraId="4DC640A1" w14:textId="77777777" w:rsidR="005A709C" w:rsidRDefault="00B007F1">
            <w:pPr>
              <w:pStyle w:val="TableParagraph"/>
              <w:spacing w:before="17"/>
              <w:ind w:left="67" w:right="62"/>
              <w:jc w:val="center"/>
              <w:rPr>
                <w:sz w:val="20"/>
              </w:rPr>
            </w:pPr>
            <w:r>
              <w:rPr>
                <w:sz w:val="20"/>
              </w:rPr>
              <w:t>45</w:t>
            </w:r>
          </w:p>
        </w:tc>
        <w:tc>
          <w:tcPr>
            <w:tcW w:w="1730" w:type="dxa"/>
          </w:tcPr>
          <w:p w14:paraId="49AA4365" w14:textId="77777777" w:rsidR="005A709C" w:rsidRDefault="00B007F1">
            <w:pPr>
              <w:pStyle w:val="TableParagraph"/>
              <w:spacing w:before="17"/>
              <w:ind w:left="68" w:right="62"/>
              <w:jc w:val="center"/>
              <w:rPr>
                <w:sz w:val="20"/>
              </w:rPr>
            </w:pPr>
            <w:r>
              <w:rPr>
                <w:sz w:val="20"/>
              </w:rPr>
              <w:t>50</w:t>
            </w:r>
          </w:p>
        </w:tc>
      </w:tr>
      <w:tr w:rsidR="005A709C" w14:paraId="1749CD24" w14:textId="77777777">
        <w:trPr>
          <w:trHeight w:val="306"/>
        </w:trPr>
        <w:tc>
          <w:tcPr>
            <w:tcW w:w="3648" w:type="dxa"/>
          </w:tcPr>
          <w:p w14:paraId="21806999" w14:textId="77777777" w:rsidR="005A709C" w:rsidRDefault="00B007F1">
            <w:pPr>
              <w:pStyle w:val="TableParagraph"/>
              <w:spacing w:before="17"/>
              <w:ind w:left="59"/>
              <w:rPr>
                <w:sz w:val="20"/>
              </w:rPr>
            </w:pPr>
            <w:r>
              <w:rPr>
                <w:sz w:val="20"/>
              </w:rPr>
              <w:t>Total nursing turnover (%)</w:t>
            </w:r>
          </w:p>
        </w:tc>
        <w:tc>
          <w:tcPr>
            <w:tcW w:w="1730" w:type="dxa"/>
          </w:tcPr>
          <w:p w14:paraId="565FE7C6" w14:textId="77777777" w:rsidR="005A709C" w:rsidRDefault="00B007F1">
            <w:pPr>
              <w:pStyle w:val="TableParagraph"/>
              <w:spacing w:before="17"/>
              <w:ind w:left="66" w:right="62"/>
              <w:jc w:val="center"/>
              <w:rPr>
                <w:sz w:val="20"/>
              </w:rPr>
            </w:pPr>
            <w:r>
              <w:rPr>
                <w:sz w:val="20"/>
              </w:rPr>
              <w:t>50.394</w:t>
            </w:r>
          </w:p>
        </w:tc>
        <w:tc>
          <w:tcPr>
            <w:tcW w:w="1730" w:type="dxa"/>
          </w:tcPr>
          <w:p w14:paraId="384B84ED" w14:textId="77777777" w:rsidR="005A709C" w:rsidRDefault="00B007F1">
            <w:pPr>
              <w:pStyle w:val="TableParagraph"/>
              <w:spacing w:before="17"/>
              <w:ind w:left="67" w:right="62"/>
              <w:jc w:val="center"/>
              <w:rPr>
                <w:sz w:val="20"/>
              </w:rPr>
            </w:pPr>
            <w:r>
              <w:rPr>
                <w:sz w:val="20"/>
              </w:rPr>
              <w:t>25</w:t>
            </w:r>
          </w:p>
        </w:tc>
        <w:tc>
          <w:tcPr>
            <w:tcW w:w="1730" w:type="dxa"/>
          </w:tcPr>
          <w:p w14:paraId="44374473" w14:textId="77777777" w:rsidR="005A709C" w:rsidRDefault="00B007F1">
            <w:pPr>
              <w:pStyle w:val="TableParagraph"/>
              <w:spacing w:before="17"/>
              <w:ind w:left="68" w:right="62"/>
              <w:jc w:val="center"/>
              <w:rPr>
                <w:sz w:val="20"/>
              </w:rPr>
            </w:pPr>
            <w:r>
              <w:rPr>
                <w:sz w:val="20"/>
              </w:rPr>
              <w:t>50</w:t>
            </w:r>
          </w:p>
        </w:tc>
      </w:tr>
      <w:tr w:rsidR="005A709C" w14:paraId="0EE5ECE2" w14:textId="77777777">
        <w:trPr>
          <w:trHeight w:val="306"/>
        </w:trPr>
        <w:tc>
          <w:tcPr>
            <w:tcW w:w="3648" w:type="dxa"/>
          </w:tcPr>
          <w:p w14:paraId="054F9DFF" w14:textId="77777777" w:rsidR="005A709C" w:rsidRDefault="00B007F1">
            <w:pPr>
              <w:pStyle w:val="TableParagraph"/>
              <w:spacing w:before="17"/>
              <w:ind w:left="59"/>
              <w:rPr>
                <w:sz w:val="20"/>
              </w:rPr>
            </w:pPr>
            <w:r>
              <w:rPr>
                <w:sz w:val="20"/>
              </w:rPr>
              <w:t>RN turnover (%)</w:t>
            </w:r>
          </w:p>
        </w:tc>
        <w:tc>
          <w:tcPr>
            <w:tcW w:w="1730" w:type="dxa"/>
          </w:tcPr>
          <w:p w14:paraId="5A6CF0CA" w14:textId="77777777" w:rsidR="005A709C" w:rsidRDefault="00B007F1">
            <w:pPr>
              <w:pStyle w:val="TableParagraph"/>
              <w:spacing w:before="17"/>
              <w:ind w:left="66" w:right="62"/>
              <w:jc w:val="center"/>
              <w:rPr>
                <w:sz w:val="20"/>
              </w:rPr>
            </w:pPr>
            <w:r>
              <w:rPr>
                <w:sz w:val="20"/>
              </w:rPr>
              <w:t>11.765</w:t>
            </w:r>
          </w:p>
        </w:tc>
        <w:tc>
          <w:tcPr>
            <w:tcW w:w="1730" w:type="dxa"/>
          </w:tcPr>
          <w:p w14:paraId="205E5538" w14:textId="77777777" w:rsidR="005A709C" w:rsidRDefault="00B007F1">
            <w:pPr>
              <w:pStyle w:val="TableParagraph"/>
              <w:spacing w:before="17"/>
              <w:ind w:left="67" w:right="62"/>
              <w:jc w:val="center"/>
              <w:rPr>
                <w:sz w:val="20"/>
              </w:rPr>
            </w:pPr>
            <w:r>
              <w:rPr>
                <w:sz w:val="20"/>
              </w:rPr>
              <w:t>50</w:t>
            </w:r>
          </w:p>
        </w:tc>
        <w:tc>
          <w:tcPr>
            <w:tcW w:w="1730" w:type="dxa"/>
          </w:tcPr>
          <w:p w14:paraId="5DF80508" w14:textId="77777777" w:rsidR="005A709C" w:rsidRDefault="00B007F1">
            <w:pPr>
              <w:pStyle w:val="TableParagraph"/>
              <w:spacing w:before="17"/>
              <w:ind w:left="68" w:right="62"/>
              <w:jc w:val="center"/>
              <w:rPr>
                <w:sz w:val="20"/>
              </w:rPr>
            </w:pPr>
            <w:r>
              <w:rPr>
                <w:sz w:val="20"/>
              </w:rPr>
              <w:t>50</w:t>
            </w:r>
          </w:p>
        </w:tc>
      </w:tr>
      <w:tr w:rsidR="005A709C" w14:paraId="4E8B0DAC" w14:textId="77777777">
        <w:trPr>
          <w:trHeight w:val="307"/>
        </w:trPr>
        <w:tc>
          <w:tcPr>
            <w:tcW w:w="3648" w:type="dxa"/>
          </w:tcPr>
          <w:p w14:paraId="25BD5FF0" w14:textId="77777777" w:rsidR="005A709C" w:rsidRDefault="00B007F1">
            <w:pPr>
              <w:pStyle w:val="TableParagraph"/>
              <w:spacing w:before="17"/>
              <w:ind w:left="59"/>
              <w:rPr>
                <w:sz w:val="20"/>
              </w:rPr>
            </w:pPr>
            <w:r>
              <w:rPr>
                <w:sz w:val="20"/>
              </w:rPr>
              <w:t>Number of administrator departures</w:t>
            </w:r>
          </w:p>
        </w:tc>
        <w:tc>
          <w:tcPr>
            <w:tcW w:w="1730" w:type="dxa"/>
          </w:tcPr>
          <w:p w14:paraId="6D1638C0" w14:textId="77777777" w:rsidR="005A709C" w:rsidRDefault="00B007F1">
            <w:pPr>
              <w:pStyle w:val="TableParagraph"/>
              <w:spacing w:before="17"/>
              <w:ind w:left="64" w:right="62"/>
              <w:jc w:val="center"/>
              <w:rPr>
                <w:sz w:val="20"/>
              </w:rPr>
            </w:pPr>
            <w:r>
              <w:rPr>
                <w:sz w:val="20"/>
              </w:rPr>
              <w:t>N.A.</w:t>
            </w:r>
          </w:p>
        </w:tc>
        <w:tc>
          <w:tcPr>
            <w:tcW w:w="1730" w:type="dxa"/>
          </w:tcPr>
          <w:p w14:paraId="088C114B" w14:textId="77777777" w:rsidR="005A709C" w:rsidRDefault="00B007F1">
            <w:pPr>
              <w:pStyle w:val="TableParagraph"/>
              <w:spacing w:before="17"/>
              <w:ind w:left="67" w:right="62"/>
              <w:jc w:val="center"/>
              <w:rPr>
                <w:sz w:val="20"/>
              </w:rPr>
            </w:pPr>
            <w:r>
              <w:rPr>
                <w:sz w:val="20"/>
              </w:rPr>
              <w:t>10</w:t>
            </w:r>
          </w:p>
        </w:tc>
        <w:tc>
          <w:tcPr>
            <w:tcW w:w="1730" w:type="dxa"/>
          </w:tcPr>
          <w:p w14:paraId="00802153" w14:textId="77777777" w:rsidR="005A709C" w:rsidRDefault="00B007F1">
            <w:pPr>
              <w:pStyle w:val="TableParagraph"/>
              <w:spacing w:before="17"/>
              <w:ind w:left="68" w:right="62"/>
              <w:jc w:val="center"/>
              <w:rPr>
                <w:sz w:val="20"/>
              </w:rPr>
            </w:pPr>
            <w:r>
              <w:rPr>
                <w:sz w:val="20"/>
              </w:rPr>
              <w:t>30</w:t>
            </w:r>
          </w:p>
        </w:tc>
      </w:tr>
      <w:tr w:rsidR="005A709C" w14:paraId="3A1935C0" w14:textId="77777777">
        <w:trPr>
          <w:trHeight w:val="306"/>
        </w:trPr>
        <w:tc>
          <w:tcPr>
            <w:tcW w:w="3648" w:type="dxa"/>
          </w:tcPr>
          <w:p w14:paraId="479852E1" w14:textId="77777777" w:rsidR="005A709C" w:rsidRDefault="00B007F1">
            <w:pPr>
              <w:pStyle w:val="TableParagraph"/>
              <w:spacing w:before="17"/>
              <w:ind w:left="59"/>
              <w:rPr>
                <w:b/>
                <w:sz w:val="20"/>
              </w:rPr>
            </w:pPr>
            <w:r>
              <w:rPr>
                <w:b/>
                <w:sz w:val="20"/>
              </w:rPr>
              <w:t>Raw point total</w:t>
            </w:r>
          </w:p>
        </w:tc>
        <w:tc>
          <w:tcPr>
            <w:tcW w:w="1730" w:type="dxa"/>
            <w:shd w:val="clear" w:color="auto" w:fill="CCCCCC"/>
          </w:tcPr>
          <w:p w14:paraId="39B06D69" w14:textId="77777777" w:rsidR="005A709C" w:rsidRDefault="005A709C">
            <w:pPr>
              <w:pStyle w:val="TableParagraph"/>
              <w:spacing w:before="0"/>
              <w:rPr>
                <w:rFonts w:ascii="Times New Roman"/>
                <w:sz w:val="18"/>
              </w:rPr>
            </w:pPr>
          </w:p>
        </w:tc>
        <w:tc>
          <w:tcPr>
            <w:tcW w:w="1730" w:type="dxa"/>
          </w:tcPr>
          <w:p w14:paraId="40622FA9" w14:textId="77777777" w:rsidR="005A709C" w:rsidRDefault="00B007F1">
            <w:pPr>
              <w:pStyle w:val="TableParagraph"/>
              <w:spacing w:before="17"/>
              <w:ind w:left="63" w:right="62"/>
              <w:jc w:val="center"/>
              <w:rPr>
                <w:sz w:val="20"/>
              </w:rPr>
            </w:pPr>
            <w:r>
              <w:rPr>
                <w:sz w:val="20"/>
              </w:rPr>
              <w:t>280</w:t>
            </w:r>
          </w:p>
        </w:tc>
        <w:tc>
          <w:tcPr>
            <w:tcW w:w="1730" w:type="dxa"/>
            <w:shd w:val="clear" w:color="auto" w:fill="CCCCCC"/>
          </w:tcPr>
          <w:p w14:paraId="11CB2A0F" w14:textId="77777777" w:rsidR="005A709C" w:rsidRDefault="005A709C">
            <w:pPr>
              <w:pStyle w:val="TableParagraph"/>
              <w:spacing w:before="0"/>
              <w:rPr>
                <w:rFonts w:ascii="Times New Roman"/>
                <w:sz w:val="18"/>
              </w:rPr>
            </w:pPr>
          </w:p>
        </w:tc>
      </w:tr>
      <w:tr w:rsidR="005A709C" w14:paraId="6C0AE062" w14:textId="77777777">
        <w:trPr>
          <w:trHeight w:val="306"/>
        </w:trPr>
        <w:tc>
          <w:tcPr>
            <w:tcW w:w="3648" w:type="dxa"/>
          </w:tcPr>
          <w:p w14:paraId="742FD858" w14:textId="77777777" w:rsidR="005A709C" w:rsidRDefault="00B007F1">
            <w:pPr>
              <w:pStyle w:val="TableParagraph"/>
              <w:spacing w:before="17"/>
              <w:ind w:left="59"/>
              <w:rPr>
                <w:b/>
                <w:sz w:val="20"/>
              </w:rPr>
            </w:pPr>
            <w:r>
              <w:rPr>
                <w:b/>
                <w:sz w:val="20"/>
              </w:rPr>
              <w:t>Total points after rescaling (if any)</w:t>
            </w:r>
          </w:p>
        </w:tc>
        <w:tc>
          <w:tcPr>
            <w:tcW w:w="1730" w:type="dxa"/>
            <w:shd w:val="clear" w:color="auto" w:fill="CCCCCC"/>
          </w:tcPr>
          <w:p w14:paraId="6A8BA0C0" w14:textId="77777777" w:rsidR="005A709C" w:rsidRDefault="005A709C">
            <w:pPr>
              <w:pStyle w:val="TableParagraph"/>
              <w:spacing w:before="0"/>
              <w:rPr>
                <w:rFonts w:ascii="Times New Roman"/>
                <w:sz w:val="18"/>
              </w:rPr>
            </w:pPr>
          </w:p>
        </w:tc>
        <w:tc>
          <w:tcPr>
            <w:tcW w:w="1730" w:type="dxa"/>
          </w:tcPr>
          <w:p w14:paraId="09A2DE77" w14:textId="77777777" w:rsidR="005A709C" w:rsidRDefault="00B007F1">
            <w:pPr>
              <w:pStyle w:val="TableParagraph"/>
              <w:spacing w:before="17"/>
              <w:ind w:left="63" w:right="62"/>
              <w:jc w:val="center"/>
              <w:rPr>
                <w:sz w:val="20"/>
              </w:rPr>
            </w:pPr>
            <w:r>
              <w:rPr>
                <w:sz w:val="20"/>
              </w:rPr>
              <w:t>280</w:t>
            </w:r>
          </w:p>
        </w:tc>
        <w:tc>
          <w:tcPr>
            <w:tcW w:w="1730" w:type="dxa"/>
          </w:tcPr>
          <w:p w14:paraId="483D203F" w14:textId="77777777" w:rsidR="005A709C" w:rsidRDefault="00B007F1">
            <w:pPr>
              <w:pStyle w:val="TableParagraph"/>
              <w:spacing w:before="17"/>
              <w:ind w:left="64" w:right="62"/>
              <w:jc w:val="center"/>
              <w:rPr>
                <w:sz w:val="20"/>
              </w:rPr>
            </w:pPr>
            <w:r>
              <w:rPr>
                <w:sz w:val="20"/>
              </w:rPr>
              <w:t>380</w:t>
            </w:r>
          </w:p>
        </w:tc>
      </w:tr>
      <w:tr w:rsidR="005A709C" w14:paraId="136A3401" w14:textId="77777777">
        <w:trPr>
          <w:trHeight w:val="306"/>
        </w:trPr>
        <w:tc>
          <w:tcPr>
            <w:tcW w:w="3648" w:type="dxa"/>
            <w:shd w:val="clear" w:color="auto" w:fill="CCCCCC"/>
          </w:tcPr>
          <w:p w14:paraId="784F0516" w14:textId="77777777" w:rsidR="005A709C" w:rsidRDefault="005A709C">
            <w:pPr>
              <w:pStyle w:val="TableParagraph"/>
              <w:spacing w:before="0"/>
              <w:rPr>
                <w:rFonts w:ascii="Times New Roman"/>
                <w:sz w:val="18"/>
              </w:rPr>
            </w:pPr>
          </w:p>
        </w:tc>
        <w:tc>
          <w:tcPr>
            <w:tcW w:w="1730" w:type="dxa"/>
            <w:shd w:val="clear" w:color="auto" w:fill="CCCCCC"/>
          </w:tcPr>
          <w:p w14:paraId="0A831601" w14:textId="77777777" w:rsidR="005A709C" w:rsidRDefault="005A709C">
            <w:pPr>
              <w:pStyle w:val="TableParagraph"/>
              <w:spacing w:before="0"/>
              <w:rPr>
                <w:rFonts w:ascii="Times New Roman"/>
                <w:sz w:val="18"/>
              </w:rPr>
            </w:pPr>
          </w:p>
        </w:tc>
        <w:tc>
          <w:tcPr>
            <w:tcW w:w="1730" w:type="dxa"/>
            <w:shd w:val="clear" w:color="auto" w:fill="CCCCCC"/>
          </w:tcPr>
          <w:p w14:paraId="61EFE553" w14:textId="77777777" w:rsidR="005A709C" w:rsidRDefault="005A709C">
            <w:pPr>
              <w:pStyle w:val="TableParagraph"/>
              <w:spacing w:before="0"/>
              <w:rPr>
                <w:rFonts w:ascii="Times New Roman"/>
                <w:sz w:val="18"/>
              </w:rPr>
            </w:pPr>
          </w:p>
        </w:tc>
        <w:tc>
          <w:tcPr>
            <w:tcW w:w="1730" w:type="dxa"/>
            <w:shd w:val="clear" w:color="auto" w:fill="CCCCCC"/>
          </w:tcPr>
          <w:p w14:paraId="4B3D8D80" w14:textId="77777777" w:rsidR="005A709C" w:rsidRDefault="005A709C">
            <w:pPr>
              <w:pStyle w:val="TableParagraph"/>
              <w:spacing w:before="0"/>
              <w:rPr>
                <w:rFonts w:ascii="Times New Roman"/>
                <w:sz w:val="18"/>
              </w:rPr>
            </w:pPr>
          </w:p>
        </w:tc>
      </w:tr>
      <w:tr w:rsidR="005A709C" w14:paraId="76043B17" w14:textId="77777777">
        <w:trPr>
          <w:trHeight w:val="460"/>
        </w:trPr>
        <w:tc>
          <w:tcPr>
            <w:tcW w:w="3648" w:type="dxa"/>
          </w:tcPr>
          <w:p w14:paraId="6C59CF4C" w14:textId="77777777" w:rsidR="005A709C" w:rsidRDefault="00B007F1">
            <w:pPr>
              <w:pStyle w:val="TableParagraph"/>
              <w:spacing w:before="111"/>
              <w:ind w:left="59"/>
              <w:rPr>
                <w:b/>
                <w:sz w:val="20"/>
              </w:rPr>
            </w:pPr>
            <w:r>
              <w:rPr>
                <w:b/>
                <w:sz w:val="20"/>
              </w:rPr>
              <w:t>Staffing rating</w:t>
            </w:r>
          </w:p>
        </w:tc>
        <w:tc>
          <w:tcPr>
            <w:tcW w:w="1730" w:type="dxa"/>
          </w:tcPr>
          <w:p w14:paraId="4C7274A5" w14:textId="77777777" w:rsidR="005A709C" w:rsidRDefault="00B007F1">
            <w:pPr>
              <w:pStyle w:val="TableParagraph"/>
              <w:spacing w:before="112"/>
              <w:ind w:left="64" w:right="62"/>
              <w:jc w:val="center"/>
              <w:rPr>
                <w:rFonts w:ascii="Times New Roman" w:hAnsi="Times New Roman"/>
                <w:sz w:val="20"/>
              </w:rPr>
            </w:pPr>
            <w:r>
              <w:rPr>
                <w:rFonts w:ascii="Times New Roman" w:hAnsi="Times New Roman"/>
                <w:w w:val="105"/>
                <w:sz w:val="20"/>
              </w:rPr>
              <w:t>★★★★</w:t>
            </w:r>
          </w:p>
        </w:tc>
        <w:tc>
          <w:tcPr>
            <w:tcW w:w="1730" w:type="dxa"/>
            <w:shd w:val="clear" w:color="auto" w:fill="CCCCCC"/>
          </w:tcPr>
          <w:p w14:paraId="5DF1B648" w14:textId="77777777" w:rsidR="005A709C" w:rsidRDefault="005A709C">
            <w:pPr>
              <w:pStyle w:val="TableParagraph"/>
              <w:spacing w:before="0"/>
              <w:rPr>
                <w:rFonts w:ascii="Times New Roman"/>
                <w:sz w:val="18"/>
              </w:rPr>
            </w:pPr>
          </w:p>
        </w:tc>
        <w:tc>
          <w:tcPr>
            <w:tcW w:w="1730" w:type="dxa"/>
            <w:shd w:val="clear" w:color="auto" w:fill="CCCCCC"/>
          </w:tcPr>
          <w:p w14:paraId="1CEAC7EB" w14:textId="77777777" w:rsidR="005A709C" w:rsidRDefault="005A709C">
            <w:pPr>
              <w:pStyle w:val="TableParagraph"/>
              <w:spacing w:before="0"/>
              <w:rPr>
                <w:rFonts w:ascii="Times New Roman"/>
                <w:sz w:val="18"/>
              </w:rPr>
            </w:pPr>
          </w:p>
        </w:tc>
      </w:tr>
    </w:tbl>
    <w:p w14:paraId="1B5BCE74" w14:textId="77777777" w:rsidR="005A709C" w:rsidRDefault="005A709C">
      <w:pPr>
        <w:pStyle w:val="BodyText"/>
        <w:spacing w:before="7"/>
        <w:rPr>
          <w:sz w:val="18"/>
        </w:rPr>
      </w:pPr>
    </w:p>
    <w:p w14:paraId="2C0BFD9A" w14:textId="77777777" w:rsidR="005A709C" w:rsidRDefault="00B007F1">
      <w:pPr>
        <w:ind w:left="197" w:right="522"/>
        <w:rPr>
          <w:i/>
          <w:sz w:val="16"/>
        </w:rPr>
      </w:pPr>
      <w:r>
        <w:rPr>
          <w:i/>
          <w:sz w:val="16"/>
        </w:rPr>
        <w:t>N.A. = ‘Not Available’. Points for individual measures may show as N.A. if the measure value is Not Available. Point values will show as N.A. for all measures for special focus facilities, providers that are too new for a valid rating to be calculated, providers for which nurse staffing levels are not available, and providers that have had their staffing rating reduced to one star (see availability of reported staffing and scoring exceptions</w:t>
      </w:r>
      <w:r>
        <w:rPr>
          <w:i/>
          <w:spacing w:val="1"/>
          <w:sz w:val="16"/>
        </w:rPr>
        <w:t xml:space="preserve"> </w:t>
      </w:r>
      <w:r>
        <w:rPr>
          <w:i/>
          <w:sz w:val="16"/>
        </w:rPr>
        <w:t>above).</w:t>
      </w:r>
    </w:p>
    <w:p w14:paraId="630CBF08" w14:textId="77777777" w:rsidR="005A709C" w:rsidRDefault="005A709C">
      <w:pPr>
        <w:rPr>
          <w:sz w:val="16"/>
        </w:rPr>
        <w:sectPr w:rsidR="005A709C">
          <w:pgSz w:w="12240" w:h="15840"/>
          <w:pgMar w:top="1020" w:right="1120" w:bottom="280" w:left="1000" w:header="805" w:footer="0" w:gutter="0"/>
          <w:cols w:space="720"/>
        </w:sectPr>
      </w:pPr>
    </w:p>
    <w:p w14:paraId="7B0977AF" w14:textId="77777777" w:rsidR="005A709C" w:rsidRDefault="005A709C">
      <w:pPr>
        <w:pStyle w:val="BodyText"/>
        <w:spacing w:before="2"/>
        <w:rPr>
          <w:i/>
          <w:sz w:val="14"/>
        </w:rPr>
      </w:pPr>
    </w:p>
    <w:p w14:paraId="3541765A" w14:textId="77777777" w:rsidR="005A709C" w:rsidRDefault="00B007F1">
      <w:pPr>
        <w:pStyle w:val="Heading1"/>
      </w:pPr>
      <w:r>
        <w:t>References</w:t>
      </w:r>
    </w:p>
    <w:p w14:paraId="2B662540" w14:textId="77777777" w:rsidR="005A709C" w:rsidRDefault="00B007F1">
      <w:pPr>
        <w:pStyle w:val="Heading3"/>
        <w:spacing w:before="184" w:line="229" w:lineRule="exact"/>
      </w:pPr>
      <w:r>
        <w:t>Technical Details on the Five-Star Quality Rating System</w:t>
      </w:r>
    </w:p>
    <w:p w14:paraId="08AFD7D4" w14:textId="77777777" w:rsidR="005A709C" w:rsidRDefault="00B007F1">
      <w:pPr>
        <w:pStyle w:val="BodyText"/>
        <w:ind w:left="197" w:right="438"/>
      </w:pPr>
      <w:r>
        <w:t>The Five-Star Quality Rating System Technical Users' Guide includes detailed methodology for all domains of the rating system and can be found at:</w:t>
      </w:r>
    </w:p>
    <w:p w14:paraId="5CF78FBE" w14:textId="77777777" w:rsidR="005A709C" w:rsidRDefault="00B007F1">
      <w:pPr>
        <w:spacing w:line="146" w:lineRule="exact"/>
        <w:ind w:left="197"/>
        <w:rPr>
          <w:sz w:val="14"/>
        </w:rPr>
      </w:pPr>
      <w:hyperlink r:id="rId13">
        <w:r>
          <w:rPr>
            <w:color w:val="ED82ED"/>
            <w:sz w:val="14"/>
          </w:rPr>
          <w:t>https://www.cms.gov/Medicare/Provider-Enrollment-and-Certification/CertificationandComplianc/downloads/usersguide.pdf</w:t>
        </w:r>
      </w:hyperlink>
    </w:p>
    <w:p w14:paraId="205260EA" w14:textId="77777777" w:rsidR="005A709C" w:rsidRDefault="005A709C">
      <w:pPr>
        <w:pStyle w:val="BodyText"/>
        <w:spacing w:before="6"/>
        <w:rPr>
          <w:sz w:val="17"/>
        </w:rPr>
      </w:pPr>
    </w:p>
    <w:p w14:paraId="135CB246" w14:textId="77777777" w:rsidR="005A709C" w:rsidRDefault="00B007F1">
      <w:pPr>
        <w:pStyle w:val="Heading3"/>
        <w:spacing w:before="1" w:line="229" w:lineRule="exact"/>
      </w:pPr>
      <w:r>
        <w:t>Provider Data Catalog</w:t>
      </w:r>
    </w:p>
    <w:p w14:paraId="662FE2EC" w14:textId="77777777" w:rsidR="005A709C" w:rsidRDefault="00B007F1">
      <w:pPr>
        <w:pStyle w:val="BodyText"/>
        <w:ind w:left="197" w:right="808"/>
      </w:pPr>
      <w:r>
        <w:t>All of the data posted on the Care Compare website as well as additional details on some domains and measures are available for download on the Provider Data Catalog at:</w:t>
      </w:r>
    </w:p>
    <w:p w14:paraId="56215A1D" w14:textId="77777777" w:rsidR="005A709C" w:rsidRDefault="00B007F1">
      <w:pPr>
        <w:spacing w:line="146" w:lineRule="exact"/>
        <w:ind w:left="197"/>
        <w:rPr>
          <w:sz w:val="14"/>
        </w:rPr>
      </w:pPr>
      <w:r>
        <w:rPr>
          <w:color w:val="ED82ED"/>
          <w:sz w:val="14"/>
        </w:rPr>
        <w:t>https://data.cms.gov/provider-data/</w:t>
      </w:r>
    </w:p>
    <w:p w14:paraId="588AF754" w14:textId="77777777" w:rsidR="005A709C" w:rsidRDefault="005A709C">
      <w:pPr>
        <w:pStyle w:val="BodyText"/>
        <w:spacing w:before="6"/>
        <w:rPr>
          <w:sz w:val="17"/>
        </w:rPr>
      </w:pPr>
    </w:p>
    <w:p w14:paraId="663F47D3" w14:textId="77777777" w:rsidR="005A709C" w:rsidRDefault="00B007F1">
      <w:pPr>
        <w:pStyle w:val="Heading3"/>
        <w:spacing w:line="229" w:lineRule="exact"/>
      </w:pPr>
      <w:r>
        <w:t>Staffing</w:t>
      </w:r>
    </w:p>
    <w:p w14:paraId="24B36297" w14:textId="77777777" w:rsidR="005A709C" w:rsidRDefault="00B007F1">
      <w:pPr>
        <w:pStyle w:val="BodyText"/>
        <w:spacing w:line="223" w:lineRule="exact"/>
        <w:ind w:left="197"/>
      </w:pPr>
      <w:r>
        <w:t>Information about staffing data submission is available on the CMS website at:</w:t>
      </w:r>
    </w:p>
    <w:p w14:paraId="10D9F4C7" w14:textId="77777777" w:rsidR="005A709C" w:rsidRDefault="00B007F1">
      <w:pPr>
        <w:spacing w:line="155" w:lineRule="exact"/>
        <w:ind w:left="197"/>
        <w:rPr>
          <w:sz w:val="14"/>
        </w:rPr>
      </w:pPr>
      <w:hyperlink r:id="rId14">
        <w:r>
          <w:rPr>
            <w:color w:val="ED82ED"/>
            <w:sz w:val="14"/>
          </w:rPr>
          <w:t>https://www.cms.gov/Medicare/Quality-Initiatives-Patient-Assessment-Instruments/NursingHomeQualityInits/Staffing-Data-Submission-PBJ.html</w:t>
        </w:r>
      </w:hyperlink>
    </w:p>
    <w:p w14:paraId="1490396F" w14:textId="77777777" w:rsidR="005A709C" w:rsidRDefault="005A709C">
      <w:pPr>
        <w:pStyle w:val="BodyText"/>
        <w:spacing w:before="2"/>
        <w:rPr>
          <w:sz w:val="17"/>
        </w:rPr>
      </w:pPr>
    </w:p>
    <w:p w14:paraId="7BF80135" w14:textId="77777777" w:rsidR="005A709C" w:rsidRDefault="00B007F1">
      <w:pPr>
        <w:pStyle w:val="BodyText"/>
        <w:ind w:left="197" w:right="1305"/>
      </w:pPr>
      <w:r>
        <w:t xml:space="preserve">For additional assistance with or questions related to the PBJ registration process, please contact 800-339-9313 or email </w:t>
      </w:r>
      <w:hyperlink r:id="rId15">
        <w:r>
          <w:rPr>
            <w:color w:val="0000FF"/>
          </w:rPr>
          <w:t>iQIES@cms.hhs.gov</w:t>
        </w:r>
        <w:r>
          <w:t>.</w:t>
        </w:r>
      </w:hyperlink>
    </w:p>
    <w:p w14:paraId="74533CB2" w14:textId="77777777" w:rsidR="005A709C" w:rsidRDefault="00B007F1">
      <w:pPr>
        <w:pStyle w:val="BodyText"/>
        <w:spacing w:before="186"/>
        <w:ind w:left="197" w:right="954"/>
      </w:pPr>
      <w:r>
        <w:t>CMS Memorandum QSO-22-08-NH regarding weekend staffing, staff turnover, and information about linking employee identifiers can be found at:</w:t>
      </w:r>
    </w:p>
    <w:p w14:paraId="384C6EFA" w14:textId="77777777" w:rsidR="005A709C" w:rsidRDefault="00B007F1">
      <w:pPr>
        <w:spacing w:line="146" w:lineRule="exact"/>
        <w:ind w:left="197"/>
        <w:rPr>
          <w:sz w:val="14"/>
        </w:rPr>
      </w:pPr>
      <w:hyperlink r:id="rId16">
        <w:r>
          <w:rPr>
            <w:color w:val="ED82ED"/>
            <w:sz w:val="14"/>
          </w:rPr>
          <w:t>https://www.cms.gov/files/document/qso-22-08-nh.pdf</w:t>
        </w:r>
      </w:hyperlink>
    </w:p>
    <w:p w14:paraId="674A3F77" w14:textId="77777777" w:rsidR="005A709C" w:rsidRDefault="005A709C">
      <w:pPr>
        <w:pStyle w:val="BodyText"/>
        <w:spacing w:before="2"/>
        <w:rPr>
          <w:sz w:val="17"/>
        </w:rPr>
      </w:pPr>
    </w:p>
    <w:p w14:paraId="26719F7C" w14:textId="77777777" w:rsidR="005A709C" w:rsidRDefault="00B007F1">
      <w:pPr>
        <w:spacing w:line="229" w:lineRule="exact"/>
        <w:ind w:left="197"/>
        <w:rPr>
          <w:b/>
          <w:sz w:val="20"/>
        </w:rPr>
      </w:pPr>
      <w:r>
        <w:rPr>
          <w:sz w:val="20"/>
        </w:rPr>
        <w:t xml:space="preserve">Instructions and templates for linking employee identifiers can be found in the </w:t>
      </w:r>
      <w:r>
        <w:rPr>
          <w:b/>
          <w:sz w:val="20"/>
        </w:rPr>
        <w:t>PBJ Provider User's Guide</w:t>
      </w:r>
    </w:p>
    <w:p w14:paraId="7000170F" w14:textId="77777777" w:rsidR="005A709C" w:rsidRDefault="00B007F1">
      <w:pPr>
        <w:spacing w:line="229" w:lineRule="exact"/>
        <w:ind w:left="197"/>
        <w:rPr>
          <w:sz w:val="14"/>
        </w:rPr>
      </w:pPr>
      <w:r>
        <w:rPr>
          <w:sz w:val="20"/>
        </w:rPr>
        <w:t xml:space="preserve">at: </w:t>
      </w:r>
      <w:r>
        <w:rPr>
          <w:color w:val="ED82ED"/>
          <w:sz w:val="14"/>
        </w:rPr>
        <w:t>https://qtso.cms.gov/providers/nursing-home-mdsswing-bed-providers/reference-manuals</w:t>
      </w:r>
    </w:p>
    <w:p w14:paraId="4E81916F" w14:textId="77777777" w:rsidR="005A709C" w:rsidRDefault="00B007F1">
      <w:pPr>
        <w:spacing w:before="193" w:line="224" w:lineRule="exact"/>
        <w:ind w:left="197"/>
        <w:rPr>
          <w:sz w:val="20"/>
        </w:rPr>
      </w:pPr>
      <w:r>
        <w:rPr>
          <w:b/>
          <w:sz w:val="20"/>
        </w:rPr>
        <w:t xml:space="preserve">Detailed Employee level staffing data </w:t>
      </w:r>
      <w:r>
        <w:rPr>
          <w:sz w:val="20"/>
        </w:rPr>
        <w:t>can be found at:</w:t>
      </w:r>
    </w:p>
    <w:p w14:paraId="5BB53A3F" w14:textId="77777777" w:rsidR="005A709C" w:rsidRDefault="00B007F1">
      <w:pPr>
        <w:spacing w:line="155" w:lineRule="exact"/>
        <w:ind w:left="197"/>
        <w:rPr>
          <w:sz w:val="14"/>
        </w:rPr>
      </w:pPr>
      <w:r>
        <w:rPr>
          <w:color w:val="ED82ED"/>
          <w:sz w:val="14"/>
        </w:rPr>
        <w:t>https://data.cms.gov/quality-of-care/payroll-based-journal-daily-nurse-staffing</w:t>
      </w:r>
    </w:p>
    <w:p w14:paraId="52886471" w14:textId="77777777" w:rsidR="005A709C" w:rsidRDefault="005A709C">
      <w:pPr>
        <w:pStyle w:val="BodyText"/>
        <w:spacing w:before="7"/>
        <w:rPr>
          <w:sz w:val="17"/>
        </w:rPr>
      </w:pPr>
    </w:p>
    <w:p w14:paraId="55822FEC" w14:textId="77777777" w:rsidR="005A709C" w:rsidRDefault="00B007F1">
      <w:pPr>
        <w:pStyle w:val="Heading3"/>
        <w:spacing w:line="229" w:lineRule="exact"/>
      </w:pPr>
      <w:r>
        <w:t>Quality of Resident Care</w:t>
      </w:r>
    </w:p>
    <w:p w14:paraId="7E7547A6" w14:textId="77777777" w:rsidR="005A709C" w:rsidRDefault="00B007F1">
      <w:pPr>
        <w:pStyle w:val="BodyText"/>
        <w:ind w:left="197" w:right="699"/>
      </w:pPr>
      <w:r>
        <w:t>Detailed specifications (including risk-adjustment) for the MDS-based QMs, claims-based QMs and SNF QRP measures can be found in the Downloads section at:</w:t>
      </w:r>
    </w:p>
    <w:p w14:paraId="744AA01D" w14:textId="77777777" w:rsidR="005A709C" w:rsidRDefault="00B007F1">
      <w:pPr>
        <w:spacing w:line="146" w:lineRule="exact"/>
        <w:ind w:left="197"/>
        <w:rPr>
          <w:sz w:val="14"/>
        </w:rPr>
      </w:pPr>
      <w:hyperlink r:id="rId17">
        <w:r>
          <w:rPr>
            <w:color w:val="ED82ED"/>
            <w:sz w:val="14"/>
          </w:rPr>
          <w:t>https://www.cms.gov/Medicare/Quality-Initiatives-Patient-Assessment-Instruments/NursingHomeQualityInits/NHQIQualityMeasures.html</w:t>
        </w:r>
      </w:hyperlink>
    </w:p>
    <w:p w14:paraId="6DED7FA1" w14:textId="77777777" w:rsidR="005A709C" w:rsidRDefault="005A709C">
      <w:pPr>
        <w:pStyle w:val="BodyText"/>
        <w:spacing w:before="1"/>
        <w:rPr>
          <w:sz w:val="17"/>
        </w:rPr>
      </w:pPr>
    </w:p>
    <w:p w14:paraId="4B463082" w14:textId="77777777" w:rsidR="005A709C" w:rsidRDefault="00B007F1">
      <w:pPr>
        <w:pStyle w:val="BodyText"/>
        <w:spacing w:before="1" w:line="224" w:lineRule="exact"/>
        <w:ind w:left="197"/>
      </w:pPr>
      <w:r>
        <w:t>SNF QRP COVID-19 Public Reporting Tip Sheet can be found at:</w:t>
      </w:r>
    </w:p>
    <w:p w14:paraId="5EBFD027" w14:textId="77777777" w:rsidR="005A709C" w:rsidRDefault="00B007F1">
      <w:pPr>
        <w:spacing w:line="155" w:lineRule="exact"/>
        <w:ind w:left="197"/>
        <w:rPr>
          <w:sz w:val="14"/>
        </w:rPr>
      </w:pPr>
      <w:hyperlink r:id="rId18">
        <w:r>
          <w:rPr>
            <w:color w:val="ED82ED"/>
            <w:sz w:val="14"/>
          </w:rPr>
          <w:t>https://www.cms.gov/files/document/snfqrp-covid19prtipsheet-october2020.pdf</w:t>
        </w:r>
      </w:hyperlink>
    </w:p>
    <w:p w14:paraId="7FA15BB4" w14:textId="77777777" w:rsidR="005A709C" w:rsidRDefault="005A709C">
      <w:pPr>
        <w:pStyle w:val="BodyText"/>
        <w:spacing w:before="2"/>
        <w:rPr>
          <w:sz w:val="17"/>
        </w:rPr>
      </w:pPr>
    </w:p>
    <w:p w14:paraId="6C480C0A" w14:textId="77777777" w:rsidR="005A709C" w:rsidRDefault="00B007F1">
      <w:pPr>
        <w:pStyle w:val="BodyText"/>
        <w:spacing w:line="224" w:lineRule="exact"/>
        <w:ind w:left="197"/>
      </w:pPr>
      <w:r>
        <w:t>SNF Quality Reporting Training page can be found at:</w:t>
      </w:r>
    </w:p>
    <w:p w14:paraId="2302BB05" w14:textId="77777777" w:rsidR="005A709C" w:rsidRDefault="00B007F1">
      <w:pPr>
        <w:spacing w:line="235" w:lineRule="auto"/>
        <w:ind w:left="197" w:right="3221"/>
        <w:rPr>
          <w:sz w:val="14"/>
        </w:rPr>
      </w:pPr>
      <w:hyperlink r:id="rId19">
        <w:r>
          <w:rPr>
            <w:color w:val="ED82ED"/>
            <w:sz w:val="14"/>
          </w:rPr>
          <w:t>https://www.cms.gov/Medicare/Quality-Initiatives-Patient-Assessment-Instruments/NursingHomeQualityInits/</w:t>
        </w:r>
      </w:hyperlink>
      <w:r>
        <w:rPr>
          <w:color w:val="ED82ED"/>
          <w:sz w:val="14"/>
        </w:rPr>
        <w:t xml:space="preserve"> Skilled-Nursing-Facility-Quality-Reporting-Program/SNF-Quality-Reporting-Program-Training</w:t>
      </w:r>
    </w:p>
    <w:p w14:paraId="3ACD6B22" w14:textId="77777777" w:rsidR="005A709C" w:rsidRDefault="005A709C">
      <w:pPr>
        <w:pStyle w:val="BodyText"/>
        <w:rPr>
          <w:sz w:val="17"/>
        </w:rPr>
      </w:pPr>
    </w:p>
    <w:p w14:paraId="7593D9A8" w14:textId="77777777" w:rsidR="005A709C" w:rsidRDefault="00B007F1">
      <w:pPr>
        <w:pStyle w:val="BodyText"/>
        <w:spacing w:line="224" w:lineRule="exact"/>
        <w:ind w:left="197"/>
      </w:pPr>
      <w:r>
        <w:t>FY 2025 SNF Final Rule can be found at:</w:t>
      </w:r>
    </w:p>
    <w:p w14:paraId="4411E7DC" w14:textId="77777777" w:rsidR="005A709C" w:rsidRDefault="00B007F1">
      <w:pPr>
        <w:spacing w:line="155" w:lineRule="exact"/>
        <w:ind w:left="197"/>
        <w:rPr>
          <w:sz w:val="14"/>
        </w:rPr>
      </w:pPr>
      <w:hyperlink r:id="rId20">
        <w:r>
          <w:rPr>
            <w:color w:val="ED82ED"/>
            <w:sz w:val="14"/>
          </w:rPr>
          <w:t>https://www.cms.gov/Medicare/Medicare-Fee-for-Service-Payment/SNFPPS/List-of-SNF-Federal-Regulations</w:t>
        </w:r>
      </w:hyperlink>
    </w:p>
    <w:p w14:paraId="7DF8B710" w14:textId="77777777" w:rsidR="005A709C" w:rsidRDefault="005A709C">
      <w:pPr>
        <w:pStyle w:val="BodyText"/>
        <w:spacing w:before="2"/>
        <w:rPr>
          <w:sz w:val="17"/>
        </w:rPr>
      </w:pPr>
    </w:p>
    <w:p w14:paraId="4993E057" w14:textId="77777777" w:rsidR="005A709C" w:rsidRDefault="00B007F1">
      <w:pPr>
        <w:pStyle w:val="BodyText"/>
        <w:spacing w:line="224" w:lineRule="exact"/>
        <w:ind w:left="197"/>
      </w:pPr>
      <w:r>
        <w:t>CMS Skilled Nursing Facility Center website can be found at:</w:t>
      </w:r>
    </w:p>
    <w:p w14:paraId="49124970" w14:textId="77777777" w:rsidR="005A709C" w:rsidRDefault="00B007F1">
      <w:pPr>
        <w:spacing w:line="155" w:lineRule="exact"/>
        <w:ind w:left="197"/>
        <w:rPr>
          <w:sz w:val="14"/>
        </w:rPr>
      </w:pPr>
      <w:hyperlink r:id="rId21">
        <w:r>
          <w:rPr>
            <w:color w:val="ED82ED"/>
            <w:sz w:val="14"/>
          </w:rPr>
          <w:t>https://www.cms.gov/Center/Provider-Type/Skilled-Nursing-Facility-Center</w:t>
        </w:r>
      </w:hyperlink>
    </w:p>
    <w:p w14:paraId="5D9833BD" w14:textId="77777777" w:rsidR="005A709C" w:rsidRDefault="005A709C">
      <w:pPr>
        <w:pStyle w:val="BodyText"/>
        <w:spacing w:before="3"/>
        <w:rPr>
          <w:sz w:val="17"/>
        </w:rPr>
      </w:pPr>
    </w:p>
    <w:p w14:paraId="3305C2A3" w14:textId="77777777" w:rsidR="005A709C" w:rsidRDefault="00B007F1">
      <w:pPr>
        <w:pStyle w:val="BodyText"/>
        <w:spacing w:line="224" w:lineRule="exact"/>
        <w:ind w:left="197"/>
      </w:pPr>
      <w:r>
        <w:t>Additional information about Public Reporting of the SNF QRP Quality Measures can be found at:</w:t>
      </w:r>
    </w:p>
    <w:p w14:paraId="7F08AD0B" w14:textId="77777777" w:rsidR="005A709C" w:rsidRDefault="00B007F1">
      <w:pPr>
        <w:spacing w:line="235" w:lineRule="auto"/>
        <w:ind w:left="197" w:right="3221"/>
        <w:rPr>
          <w:sz w:val="14"/>
        </w:rPr>
      </w:pPr>
      <w:hyperlink r:id="rId22">
        <w:r>
          <w:rPr>
            <w:color w:val="ED82ED"/>
            <w:sz w:val="14"/>
          </w:rPr>
          <w:t>https://www.cms.gov/Medicare/Quality-Initiatives-Patient-Assessment-Instruments/NursingHomeQualityInits/</w:t>
        </w:r>
      </w:hyperlink>
      <w:r>
        <w:rPr>
          <w:color w:val="ED82ED"/>
          <w:sz w:val="14"/>
        </w:rPr>
        <w:t xml:space="preserve"> Skilled-Nursing-Facility-Quality-Reporting-Program/SNF-Quality-Reporting-Program-Overview</w:t>
      </w:r>
    </w:p>
    <w:p w14:paraId="0AE38A4B" w14:textId="77777777" w:rsidR="005A709C" w:rsidRDefault="005A709C">
      <w:pPr>
        <w:pStyle w:val="BodyText"/>
        <w:spacing w:before="11"/>
        <w:rPr>
          <w:sz w:val="16"/>
        </w:rPr>
      </w:pPr>
    </w:p>
    <w:p w14:paraId="563D0622" w14:textId="77777777" w:rsidR="005A709C" w:rsidRDefault="00B007F1">
      <w:pPr>
        <w:pStyle w:val="BodyText"/>
        <w:spacing w:line="224" w:lineRule="exact"/>
        <w:ind w:left="197"/>
      </w:pPr>
      <w:r>
        <w:t>For questions about the SNF QRP measures please contact:</w:t>
      </w:r>
    </w:p>
    <w:p w14:paraId="7E212A9A" w14:textId="77777777" w:rsidR="005A709C" w:rsidRDefault="00B007F1">
      <w:pPr>
        <w:spacing w:line="155" w:lineRule="exact"/>
        <w:ind w:left="197"/>
        <w:rPr>
          <w:sz w:val="14"/>
        </w:rPr>
      </w:pPr>
      <w:hyperlink r:id="rId23">
        <w:r>
          <w:rPr>
            <w:color w:val="ED82ED"/>
            <w:sz w:val="14"/>
          </w:rPr>
          <w:t>SNFQualityQuestions@cms.hhs.gov</w:t>
        </w:r>
      </w:hyperlink>
    </w:p>
    <w:p w14:paraId="596C577F" w14:textId="77777777" w:rsidR="005A709C" w:rsidRDefault="005A709C">
      <w:pPr>
        <w:pStyle w:val="BodyText"/>
        <w:spacing w:before="3"/>
        <w:rPr>
          <w:sz w:val="22"/>
        </w:rPr>
      </w:pPr>
    </w:p>
    <w:p w14:paraId="2C657F3A" w14:textId="77777777" w:rsidR="005A709C" w:rsidRDefault="00B007F1">
      <w:pPr>
        <w:pStyle w:val="Heading1"/>
        <w:spacing w:before="1"/>
      </w:pPr>
      <w:r>
        <w:t>PBJ Deadlines</w:t>
      </w:r>
    </w:p>
    <w:p w14:paraId="4CCE909D" w14:textId="77777777" w:rsidR="005A709C" w:rsidRDefault="005A709C">
      <w:pPr>
        <w:pStyle w:val="BodyText"/>
        <w:spacing w:before="5"/>
        <w:rPr>
          <w:b/>
          <w:sz w:val="21"/>
        </w:rPr>
      </w:pPr>
    </w:p>
    <w:tbl>
      <w:tblPr>
        <w:tblW w:w="0" w:type="auto"/>
        <w:tblInd w:w="200" w:type="dxa"/>
        <w:tblBorders>
          <w:top w:val="single" w:sz="2" w:space="0" w:color="919191"/>
          <w:left w:val="single" w:sz="2" w:space="0" w:color="919191"/>
          <w:bottom w:val="single" w:sz="2" w:space="0" w:color="919191"/>
          <w:right w:val="single" w:sz="2" w:space="0" w:color="919191"/>
          <w:insideH w:val="single" w:sz="2" w:space="0" w:color="919191"/>
          <w:insideV w:val="single" w:sz="2" w:space="0" w:color="919191"/>
        </w:tblBorders>
        <w:tblLayout w:type="fixed"/>
        <w:tblCellMar>
          <w:left w:w="0" w:type="dxa"/>
          <w:right w:w="0" w:type="dxa"/>
        </w:tblCellMar>
        <w:tblLook w:val="01E0" w:firstRow="1" w:lastRow="1" w:firstColumn="1" w:lastColumn="1" w:noHBand="0" w:noVBand="0"/>
      </w:tblPr>
      <w:tblGrid>
        <w:gridCol w:w="2976"/>
        <w:gridCol w:w="3535"/>
        <w:gridCol w:w="2976"/>
      </w:tblGrid>
      <w:tr w:rsidR="005A709C" w14:paraId="22AAD79C" w14:textId="77777777">
        <w:trPr>
          <w:trHeight w:val="462"/>
        </w:trPr>
        <w:tc>
          <w:tcPr>
            <w:tcW w:w="2976" w:type="dxa"/>
          </w:tcPr>
          <w:p w14:paraId="2B8EA7E2" w14:textId="77777777" w:rsidR="005A709C" w:rsidRDefault="005A709C">
            <w:pPr>
              <w:pStyle w:val="TableParagraph"/>
              <w:spacing w:before="11"/>
              <w:rPr>
                <w:b/>
                <w:sz w:val="18"/>
              </w:rPr>
            </w:pPr>
          </w:p>
          <w:p w14:paraId="1ACB6292" w14:textId="77777777" w:rsidR="005A709C" w:rsidRDefault="00B007F1">
            <w:pPr>
              <w:pStyle w:val="TableParagraph"/>
              <w:spacing w:before="0"/>
              <w:ind w:left="340" w:right="340"/>
              <w:jc w:val="center"/>
              <w:rPr>
                <w:b/>
                <w:sz w:val="16"/>
              </w:rPr>
            </w:pPr>
            <w:bookmarkStart w:id="3" w:name="The_Report_Procedure"/>
            <w:bookmarkStart w:id="4" w:name="Detailed_and/or_summarized_report"/>
            <w:bookmarkStart w:id="5" w:name="Table_1"/>
            <w:bookmarkEnd w:id="3"/>
            <w:bookmarkEnd w:id="4"/>
            <w:bookmarkEnd w:id="5"/>
            <w:r>
              <w:rPr>
                <w:b/>
                <w:sz w:val="16"/>
              </w:rPr>
              <w:t>Submission Deadline</w:t>
            </w:r>
          </w:p>
        </w:tc>
        <w:tc>
          <w:tcPr>
            <w:tcW w:w="3535" w:type="dxa"/>
          </w:tcPr>
          <w:p w14:paraId="079129DF" w14:textId="77777777" w:rsidR="005A709C" w:rsidRDefault="005A709C">
            <w:pPr>
              <w:pStyle w:val="TableParagraph"/>
              <w:spacing w:before="11"/>
              <w:rPr>
                <w:b/>
                <w:sz w:val="18"/>
              </w:rPr>
            </w:pPr>
          </w:p>
          <w:p w14:paraId="670017A4" w14:textId="77777777" w:rsidR="005A709C" w:rsidRDefault="00B007F1">
            <w:pPr>
              <w:pStyle w:val="TableParagraph"/>
              <w:spacing w:before="0"/>
              <w:ind w:left="397" w:right="397"/>
              <w:jc w:val="center"/>
              <w:rPr>
                <w:b/>
                <w:sz w:val="16"/>
              </w:rPr>
            </w:pPr>
            <w:r>
              <w:rPr>
                <w:b/>
                <w:sz w:val="16"/>
              </w:rPr>
              <w:t>PBJ Reporting Period</w:t>
            </w:r>
          </w:p>
        </w:tc>
        <w:tc>
          <w:tcPr>
            <w:tcW w:w="2976" w:type="dxa"/>
          </w:tcPr>
          <w:p w14:paraId="0997E14C" w14:textId="77777777" w:rsidR="005A709C" w:rsidRDefault="00B007F1">
            <w:pPr>
              <w:pStyle w:val="TableParagraph"/>
              <w:spacing w:line="247" w:lineRule="auto"/>
              <w:ind w:left="734" w:hanging="593"/>
              <w:rPr>
                <w:b/>
                <w:sz w:val="16"/>
              </w:rPr>
            </w:pPr>
            <w:r>
              <w:rPr>
                <w:b/>
                <w:sz w:val="16"/>
              </w:rPr>
              <w:t>Posted on Care Compare and used for Staffing Ratings</w:t>
            </w:r>
          </w:p>
        </w:tc>
      </w:tr>
      <w:tr w:rsidR="005A709C" w14:paraId="7E67D900" w14:textId="77777777">
        <w:trPr>
          <w:trHeight w:val="273"/>
        </w:trPr>
        <w:tc>
          <w:tcPr>
            <w:tcW w:w="2976" w:type="dxa"/>
          </w:tcPr>
          <w:p w14:paraId="0F1E3B97" w14:textId="77777777" w:rsidR="005A709C" w:rsidRDefault="00B007F1">
            <w:pPr>
              <w:pStyle w:val="TableParagraph"/>
              <w:ind w:left="340" w:right="338"/>
              <w:jc w:val="center"/>
              <w:rPr>
                <w:sz w:val="16"/>
              </w:rPr>
            </w:pPr>
            <w:r>
              <w:rPr>
                <w:sz w:val="16"/>
              </w:rPr>
              <w:t>August 14, 2025</w:t>
            </w:r>
          </w:p>
        </w:tc>
        <w:tc>
          <w:tcPr>
            <w:tcW w:w="3535" w:type="dxa"/>
          </w:tcPr>
          <w:p w14:paraId="15E0C103" w14:textId="77777777" w:rsidR="005A709C" w:rsidRDefault="00B007F1">
            <w:pPr>
              <w:pStyle w:val="TableParagraph"/>
              <w:ind w:left="398" w:right="396"/>
              <w:jc w:val="center"/>
              <w:rPr>
                <w:sz w:val="16"/>
              </w:rPr>
            </w:pPr>
            <w:r>
              <w:rPr>
                <w:sz w:val="16"/>
              </w:rPr>
              <w:t>April 1, 2025 - June 30, 2025</w:t>
            </w:r>
          </w:p>
        </w:tc>
        <w:tc>
          <w:tcPr>
            <w:tcW w:w="2976" w:type="dxa"/>
          </w:tcPr>
          <w:p w14:paraId="6A59498F" w14:textId="77777777" w:rsidR="005A709C" w:rsidRDefault="00B007F1">
            <w:pPr>
              <w:pStyle w:val="TableParagraph"/>
              <w:ind w:left="340" w:right="340"/>
              <w:jc w:val="center"/>
              <w:rPr>
                <w:sz w:val="16"/>
              </w:rPr>
            </w:pPr>
            <w:r>
              <w:rPr>
                <w:sz w:val="16"/>
              </w:rPr>
              <w:t>October 2025 - December 2025</w:t>
            </w:r>
          </w:p>
        </w:tc>
      </w:tr>
      <w:tr w:rsidR="005A709C" w14:paraId="2B6A3085" w14:textId="77777777">
        <w:trPr>
          <w:trHeight w:val="273"/>
        </w:trPr>
        <w:tc>
          <w:tcPr>
            <w:tcW w:w="2976" w:type="dxa"/>
          </w:tcPr>
          <w:p w14:paraId="70FCBDF9" w14:textId="77777777" w:rsidR="005A709C" w:rsidRDefault="00B007F1">
            <w:pPr>
              <w:pStyle w:val="TableParagraph"/>
              <w:ind w:left="340" w:right="340"/>
              <w:jc w:val="center"/>
              <w:rPr>
                <w:sz w:val="16"/>
              </w:rPr>
            </w:pPr>
            <w:r>
              <w:rPr>
                <w:sz w:val="16"/>
              </w:rPr>
              <w:t>November 14, 2025</w:t>
            </w:r>
          </w:p>
        </w:tc>
        <w:tc>
          <w:tcPr>
            <w:tcW w:w="3535" w:type="dxa"/>
          </w:tcPr>
          <w:p w14:paraId="2B10E5BB" w14:textId="77777777" w:rsidR="005A709C" w:rsidRDefault="00B007F1">
            <w:pPr>
              <w:pStyle w:val="TableParagraph"/>
              <w:ind w:left="396" w:right="397"/>
              <w:jc w:val="center"/>
              <w:rPr>
                <w:sz w:val="16"/>
              </w:rPr>
            </w:pPr>
            <w:r>
              <w:rPr>
                <w:sz w:val="16"/>
              </w:rPr>
              <w:t>July 1, 2025 - September 30, 2025</w:t>
            </w:r>
          </w:p>
        </w:tc>
        <w:tc>
          <w:tcPr>
            <w:tcW w:w="2976" w:type="dxa"/>
          </w:tcPr>
          <w:p w14:paraId="4249FC8B" w14:textId="77777777" w:rsidR="005A709C" w:rsidRDefault="00B007F1">
            <w:pPr>
              <w:pStyle w:val="TableParagraph"/>
              <w:ind w:left="340" w:right="339"/>
              <w:jc w:val="center"/>
              <w:rPr>
                <w:sz w:val="16"/>
              </w:rPr>
            </w:pPr>
            <w:r>
              <w:rPr>
                <w:sz w:val="16"/>
              </w:rPr>
              <w:t>January 2026 - March 2026</w:t>
            </w:r>
          </w:p>
        </w:tc>
      </w:tr>
      <w:tr w:rsidR="005A709C" w14:paraId="70F85391" w14:textId="77777777">
        <w:trPr>
          <w:trHeight w:val="273"/>
        </w:trPr>
        <w:tc>
          <w:tcPr>
            <w:tcW w:w="2976" w:type="dxa"/>
          </w:tcPr>
          <w:p w14:paraId="23D437DC" w14:textId="77777777" w:rsidR="005A709C" w:rsidRDefault="00B007F1">
            <w:pPr>
              <w:pStyle w:val="TableParagraph"/>
              <w:ind w:left="340" w:right="338"/>
              <w:jc w:val="center"/>
              <w:rPr>
                <w:sz w:val="16"/>
              </w:rPr>
            </w:pPr>
            <w:r>
              <w:rPr>
                <w:sz w:val="16"/>
              </w:rPr>
              <w:t>February 14, 2026</w:t>
            </w:r>
          </w:p>
        </w:tc>
        <w:tc>
          <w:tcPr>
            <w:tcW w:w="3535" w:type="dxa"/>
          </w:tcPr>
          <w:p w14:paraId="1F6FA8B9" w14:textId="77777777" w:rsidR="005A709C" w:rsidRDefault="00B007F1">
            <w:pPr>
              <w:pStyle w:val="TableParagraph"/>
              <w:ind w:left="398" w:right="397"/>
              <w:jc w:val="center"/>
              <w:rPr>
                <w:sz w:val="16"/>
              </w:rPr>
            </w:pPr>
            <w:r>
              <w:rPr>
                <w:sz w:val="16"/>
              </w:rPr>
              <w:t>October 1, 2025 - December 31, 2025</w:t>
            </w:r>
          </w:p>
        </w:tc>
        <w:tc>
          <w:tcPr>
            <w:tcW w:w="2976" w:type="dxa"/>
          </w:tcPr>
          <w:p w14:paraId="19A884B8" w14:textId="77777777" w:rsidR="005A709C" w:rsidRDefault="00B007F1">
            <w:pPr>
              <w:pStyle w:val="TableParagraph"/>
              <w:ind w:left="340" w:right="339"/>
              <w:jc w:val="center"/>
              <w:rPr>
                <w:sz w:val="16"/>
              </w:rPr>
            </w:pPr>
            <w:r>
              <w:rPr>
                <w:sz w:val="16"/>
              </w:rPr>
              <w:t>April 2026 - June 2026</w:t>
            </w:r>
          </w:p>
        </w:tc>
      </w:tr>
      <w:tr w:rsidR="005A709C" w14:paraId="05B4EDE4" w14:textId="77777777">
        <w:trPr>
          <w:trHeight w:val="273"/>
        </w:trPr>
        <w:tc>
          <w:tcPr>
            <w:tcW w:w="2976" w:type="dxa"/>
          </w:tcPr>
          <w:p w14:paraId="01AAE1E2" w14:textId="77777777" w:rsidR="005A709C" w:rsidRDefault="00B007F1">
            <w:pPr>
              <w:pStyle w:val="TableParagraph"/>
              <w:ind w:left="340" w:right="339"/>
              <w:jc w:val="center"/>
              <w:rPr>
                <w:sz w:val="16"/>
              </w:rPr>
            </w:pPr>
            <w:r>
              <w:rPr>
                <w:sz w:val="16"/>
              </w:rPr>
              <w:t>May 15, 2026</w:t>
            </w:r>
          </w:p>
        </w:tc>
        <w:tc>
          <w:tcPr>
            <w:tcW w:w="3535" w:type="dxa"/>
          </w:tcPr>
          <w:p w14:paraId="13A8467D" w14:textId="77777777" w:rsidR="005A709C" w:rsidRDefault="00B007F1">
            <w:pPr>
              <w:pStyle w:val="TableParagraph"/>
              <w:ind w:left="397" w:right="397"/>
              <w:jc w:val="center"/>
              <w:rPr>
                <w:sz w:val="16"/>
              </w:rPr>
            </w:pPr>
            <w:r>
              <w:rPr>
                <w:sz w:val="16"/>
              </w:rPr>
              <w:t>January 1, 2026 - March 31, 2026</w:t>
            </w:r>
          </w:p>
        </w:tc>
        <w:tc>
          <w:tcPr>
            <w:tcW w:w="2976" w:type="dxa"/>
          </w:tcPr>
          <w:p w14:paraId="39A4E368" w14:textId="77777777" w:rsidR="005A709C" w:rsidRDefault="00B007F1">
            <w:pPr>
              <w:pStyle w:val="TableParagraph"/>
              <w:ind w:left="340" w:right="338"/>
              <w:jc w:val="center"/>
              <w:rPr>
                <w:sz w:val="16"/>
              </w:rPr>
            </w:pPr>
            <w:r>
              <w:rPr>
                <w:sz w:val="16"/>
              </w:rPr>
              <w:t>July 2026 - September 2026</w:t>
            </w:r>
          </w:p>
        </w:tc>
      </w:tr>
    </w:tbl>
    <w:p w14:paraId="091706E5" w14:textId="77777777" w:rsidR="00B007F1" w:rsidRDefault="00B007F1"/>
    <w:sectPr w:rsidR="00000000">
      <w:pgSz w:w="12240" w:h="15840"/>
      <w:pgMar w:top="1020" w:right="1120" w:bottom="280" w:left="1000" w:header="8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88A5" w14:textId="77777777" w:rsidR="00B007F1" w:rsidRDefault="00B007F1">
      <w:r>
        <w:separator/>
      </w:r>
    </w:p>
  </w:endnote>
  <w:endnote w:type="continuationSeparator" w:id="0">
    <w:p w14:paraId="10F48D9F" w14:textId="77777777" w:rsidR="00B007F1" w:rsidRDefault="00B0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8CC1" w14:textId="77777777" w:rsidR="00B007F1" w:rsidRDefault="00B007F1">
      <w:r>
        <w:separator/>
      </w:r>
    </w:p>
  </w:footnote>
  <w:footnote w:type="continuationSeparator" w:id="0">
    <w:p w14:paraId="50E008CF" w14:textId="77777777" w:rsidR="00B007F1" w:rsidRDefault="00B00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4B0A" w14:textId="244DE5DB" w:rsidR="005A709C" w:rsidRDefault="00B007F1">
    <w:pPr>
      <w:pStyle w:val="BodyText"/>
      <w:spacing w:line="14" w:lineRule="auto"/>
    </w:pPr>
    <w:r>
      <w:rPr>
        <w:noProof/>
      </w:rPr>
      <mc:AlternateContent>
        <mc:Choice Requires="wps">
          <w:drawing>
            <wp:anchor distT="0" distB="0" distL="114300" distR="114300" simplePos="0" relativeHeight="251657728" behindDoc="1" locked="0" layoutInCell="1" allowOverlap="1" wp14:anchorId="1A9BB2DB" wp14:editId="655FB920">
              <wp:simplePos x="0" y="0"/>
              <wp:positionH relativeFrom="page">
                <wp:posOffset>6542405</wp:posOffset>
              </wp:positionH>
              <wp:positionV relativeFrom="page">
                <wp:posOffset>498475</wp:posOffset>
              </wp:positionV>
              <wp:extent cx="217805" cy="167640"/>
              <wp:effectExtent l="0" t="0" r="0" b="0"/>
              <wp:wrapNone/>
              <wp:docPr id="4299528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46B6" w14:textId="77777777" w:rsidR="005A709C" w:rsidRDefault="00B007F1">
                          <w:pPr>
                            <w:pStyle w:val="BodyText"/>
                            <w:spacing w:before="13"/>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BB2DB" id="_x0000_t202" coordsize="21600,21600" o:spt="202" path="m,l,21600r21600,l21600,xe">
              <v:stroke joinstyle="miter"/>
              <v:path gradientshapeok="t" o:connecttype="rect"/>
            </v:shapetype>
            <v:shape id="Text Box 1" o:spid="_x0000_s1026" type="#_x0000_t202" style="position:absolute;margin-left:515.15pt;margin-top:39.25pt;width:17.1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" filled="f" stroked="f">
              <v:textbox inset="0,0,0,0">
                <w:txbxContent>
                  <w:p w14:paraId="622946B6" w14:textId="77777777" w:rsidR="005A709C" w:rsidRDefault="00B007F1">
                    <w:pPr>
                      <w:pStyle w:val="BodyText"/>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F4F"/>
    <w:multiLevelType w:val="hybridMultilevel"/>
    <w:tmpl w:val="A2C6291C"/>
    <w:lvl w:ilvl="0" w:tplc="8D60FE06">
      <w:start w:val="1"/>
      <w:numFmt w:val="decimal"/>
      <w:lvlText w:val="%1."/>
      <w:lvlJc w:val="left"/>
      <w:pPr>
        <w:ind w:left="536" w:hanging="360"/>
        <w:jc w:val="left"/>
      </w:pPr>
      <w:rPr>
        <w:rFonts w:ascii="Arial" w:eastAsia="Arial" w:hAnsi="Arial" w:cs="Arial" w:hint="default"/>
        <w:spacing w:val="-9"/>
        <w:w w:val="100"/>
        <w:sz w:val="20"/>
        <w:szCs w:val="20"/>
        <w:lang w:val="en-US" w:eastAsia="en-US" w:bidi="en-US"/>
      </w:rPr>
    </w:lvl>
    <w:lvl w:ilvl="1" w:tplc="BEC044AE">
      <w:numFmt w:val="bullet"/>
      <w:lvlText w:val="•"/>
      <w:lvlJc w:val="left"/>
      <w:pPr>
        <w:ind w:left="1498" w:hanging="360"/>
      </w:pPr>
      <w:rPr>
        <w:rFonts w:hint="default"/>
        <w:lang w:val="en-US" w:eastAsia="en-US" w:bidi="en-US"/>
      </w:rPr>
    </w:lvl>
    <w:lvl w:ilvl="2" w:tplc="1882A98A">
      <w:numFmt w:val="bullet"/>
      <w:lvlText w:val="•"/>
      <w:lvlJc w:val="left"/>
      <w:pPr>
        <w:ind w:left="2456" w:hanging="360"/>
      </w:pPr>
      <w:rPr>
        <w:rFonts w:hint="default"/>
        <w:lang w:val="en-US" w:eastAsia="en-US" w:bidi="en-US"/>
      </w:rPr>
    </w:lvl>
    <w:lvl w:ilvl="3" w:tplc="C4407F2A">
      <w:numFmt w:val="bullet"/>
      <w:lvlText w:val="•"/>
      <w:lvlJc w:val="left"/>
      <w:pPr>
        <w:ind w:left="3414" w:hanging="360"/>
      </w:pPr>
      <w:rPr>
        <w:rFonts w:hint="default"/>
        <w:lang w:val="en-US" w:eastAsia="en-US" w:bidi="en-US"/>
      </w:rPr>
    </w:lvl>
    <w:lvl w:ilvl="4" w:tplc="D518A9A2">
      <w:numFmt w:val="bullet"/>
      <w:lvlText w:val="•"/>
      <w:lvlJc w:val="left"/>
      <w:pPr>
        <w:ind w:left="4372" w:hanging="360"/>
      </w:pPr>
      <w:rPr>
        <w:rFonts w:hint="default"/>
        <w:lang w:val="en-US" w:eastAsia="en-US" w:bidi="en-US"/>
      </w:rPr>
    </w:lvl>
    <w:lvl w:ilvl="5" w:tplc="40FC86D4">
      <w:numFmt w:val="bullet"/>
      <w:lvlText w:val="•"/>
      <w:lvlJc w:val="left"/>
      <w:pPr>
        <w:ind w:left="5330" w:hanging="360"/>
      </w:pPr>
      <w:rPr>
        <w:rFonts w:hint="default"/>
        <w:lang w:val="en-US" w:eastAsia="en-US" w:bidi="en-US"/>
      </w:rPr>
    </w:lvl>
    <w:lvl w:ilvl="6" w:tplc="E23CAB80">
      <w:numFmt w:val="bullet"/>
      <w:lvlText w:val="•"/>
      <w:lvlJc w:val="left"/>
      <w:pPr>
        <w:ind w:left="6288" w:hanging="360"/>
      </w:pPr>
      <w:rPr>
        <w:rFonts w:hint="default"/>
        <w:lang w:val="en-US" w:eastAsia="en-US" w:bidi="en-US"/>
      </w:rPr>
    </w:lvl>
    <w:lvl w:ilvl="7" w:tplc="ED7EBD58">
      <w:numFmt w:val="bullet"/>
      <w:lvlText w:val="•"/>
      <w:lvlJc w:val="left"/>
      <w:pPr>
        <w:ind w:left="7246" w:hanging="360"/>
      </w:pPr>
      <w:rPr>
        <w:rFonts w:hint="default"/>
        <w:lang w:val="en-US" w:eastAsia="en-US" w:bidi="en-US"/>
      </w:rPr>
    </w:lvl>
    <w:lvl w:ilvl="8" w:tplc="86ECACEC">
      <w:numFmt w:val="bullet"/>
      <w:lvlText w:val="•"/>
      <w:lvlJc w:val="left"/>
      <w:pPr>
        <w:ind w:left="8204" w:hanging="360"/>
      </w:pPr>
      <w:rPr>
        <w:rFonts w:hint="default"/>
        <w:lang w:val="en-US" w:eastAsia="en-US" w:bidi="en-US"/>
      </w:rPr>
    </w:lvl>
  </w:abstractNum>
  <w:abstractNum w:abstractNumId="1" w15:restartNumberingAfterBreak="0">
    <w:nsid w:val="17FA0872"/>
    <w:multiLevelType w:val="hybridMultilevel"/>
    <w:tmpl w:val="42C60EB4"/>
    <w:lvl w:ilvl="0" w:tplc="52E451BA">
      <w:start w:val="4"/>
      <w:numFmt w:val="decimal"/>
      <w:lvlText w:val="%1."/>
      <w:lvlJc w:val="left"/>
      <w:pPr>
        <w:ind w:left="461" w:hanging="360"/>
        <w:jc w:val="left"/>
      </w:pPr>
      <w:rPr>
        <w:rFonts w:ascii="Arial" w:eastAsia="Arial" w:hAnsi="Arial" w:cs="Arial" w:hint="default"/>
        <w:w w:val="100"/>
        <w:sz w:val="20"/>
        <w:szCs w:val="20"/>
        <w:lang w:val="en-US" w:eastAsia="en-US" w:bidi="en-US"/>
      </w:rPr>
    </w:lvl>
    <w:lvl w:ilvl="1" w:tplc="E5188E34">
      <w:numFmt w:val="bullet"/>
      <w:lvlText w:val="•"/>
      <w:lvlJc w:val="left"/>
      <w:pPr>
        <w:ind w:left="1426" w:hanging="360"/>
      </w:pPr>
      <w:rPr>
        <w:rFonts w:hint="default"/>
        <w:lang w:val="en-US" w:eastAsia="en-US" w:bidi="en-US"/>
      </w:rPr>
    </w:lvl>
    <w:lvl w:ilvl="2" w:tplc="CC5EE6A6">
      <w:numFmt w:val="bullet"/>
      <w:lvlText w:val="•"/>
      <w:lvlJc w:val="left"/>
      <w:pPr>
        <w:ind w:left="2392" w:hanging="360"/>
      </w:pPr>
      <w:rPr>
        <w:rFonts w:hint="default"/>
        <w:lang w:val="en-US" w:eastAsia="en-US" w:bidi="en-US"/>
      </w:rPr>
    </w:lvl>
    <w:lvl w:ilvl="3" w:tplc="2C26FB60">
      <w:numFmt w:val="bullet"/>
      <w:lvlText w:val="•"/>
      <w:lvlJc w:val="left"/>
      <w:pPr>
        <w:ind w:left="3358" w:hanging="360"/>
      </w:pPr>
      <w:rPr>
        <w:rFonts w:hint="default"/>
        <w:lang w:val="en-US" w:eastAsia="en-US" w:bidi="en-US"/>
      </w:rPr>
    </w:lvl>
    <w:lvl w:ilvl="4" w:tplc="47D2CD8A">
      <w:numFmt w:val="bullet"/>
      <w:lvlText w:val="•"/>
      <w:lvlJc w:val="left"/>
      <w:pPr>
        <w:ind w:left="4324" w:hanging="360"/>
      </w:pPr>
      <w:rPr>
        <w:rFonts w:hint="default"/>
        <w:lang w:val="en-US" w:eastAsia="en-US" w:bidi="en-US"/>
      </w:rPr>
    </w:lvl>
    <w:lvl w:ilvl="5" w:tplc="C934782C">
      <w:numFmt w:val="bullet"/>
      <w:lvlText w:val="•"/>
      <w:lvlJc w:val="left"/>
      <w:pPr>
        <w:ind w:left="5290" w:hanging="360"/>
      </w:pPr>
      <w:rPr>
        <w:rFonts w:hint="default"/>
        <w:lang w:val="en-US" w:eastAsia="en-US" w:bidi="en-US"/>
      </w:rPr>
    </w:lvl>
    <w:lvl w:ilvl="6" w:tplc="D28E3ADA">
      <w:numFmt w:val="bullet"/>
      <w:lvlText w:val="•"/>
      <w:lvlJc w:val="left"/>
      <w:pPr>
        <w:ind w:left="6256" w:hanging="360"/>
      </w:pPr>
      <w:rPr>
        <w:rFonts w:hint="default"/>
        <w:lang w:val="en-US" w:eastAsia="en-US" w:bidi="en-US"/>
      </w:rPr>
    </w:lvl>
    <w:lvl w:ilvl="7" w:tplc="2752FB18">
      <w:numFmt w:val="bullet"/>
      <w:lvlText w:val="•"/>
      <w:lvlJc w:val="left"/>
      <w:pPr>
        <w:ind w:left="7222" w:hanging="360"/>
      </w:pPr>
      <w:rPr>
        <w:rFonts w:hint="default"/>
        <w:lang w:val="en-US" w:eastAsia="en-US" w:bidi="en-US"/>
      </w:rPr>
    </w:lvl>
    <w:lvl w:ilvl="8" w:tplc="7340ECD2">
      <w:numFmt w:val="bullet"/>
      <w:lvlText w:val="•"/>
      <w:lvlJc w:val="left"/>
      <w:pPr>
        <w:ind w:left="8188" w:hanging="360"/>
      </w:pPr>
      <w:rPr>
        <w:rFonts w:hint="default"/>
        <w:lang w:val="en-US" w:eastAsia="en-US" w:bidi="en-US"/>
      </w:rPr>
    </w:lvl>
  </w:abstractNum>
  <w:abstractNum w:abstractNumId="2" w15:restartNumberingAfterBreak="0">
    <w:nsid w:val="44F123DD"/>
    <w:multiLevelType w:val="hybridMultilevel"/>
    <w:tmpl w:val="1CF42A70"/>
    <w:lvl w:ilvl="0" w:tplc="8076D30A">
      <w:start w:val="1"/>
      <w:numFmt w:val="decimal"/>
      <w:lvlText w:val="%1."/>
      <w:lvlJc w:val="left"/>
      <w:pPr>
        <w:ind w:left="485" w:hanging="360"/>
        <w:jc w:val="left"/>
      </w:pPr>
      <w:rPr>
        <w:rFonts w:ascii="Arial" w:eastAsia="Arial" w:hAnsi="Arial" w:cs="Arial" w:hint="default"/>
        <w:spacing w:val="-9"/>
        <w:w w:val="100"/>
        <w:sz w:val="20"/>
        <w:szCs w:val="20"/>
        <w:lang w:val="en-US" w:eastAsia="en-US" w:bidi="en-US"/>
      </w:rPr>
    </w:lvl>
    <w:lvl w:ilvl="1" w:tplc="BE880FCC">
      <w:numFmt w:val="bullet"/>
      <w:lvlText w:val="•"/>
      <w:lvlJc w:val="left"/>
      <w:pPr>
        <w:ind w:left="1444" w:hanging="360"/>
      </w:pPr>
      <w:rPr>
        <w:rFonts w:hint="default"/>
        <w:lang w:val="en-US" w:eastAsia="en-US" w:bidi="en-US"/>
      </w:rPr>
    </w:lvl>
    <w:lvl w:ilvl="2" w:tplc="773CBF9A">
      <w:numFmt w:val="bullet"/>
      <w:lvlText w:val="•"/>
      <w:lvlJc w:val="left"/>
      <w:pPr>
        <w:ind w:left="2408" w:hanging="360"/>
      </w:pPr>
      <w:rPr>
        <w:rFonts w:hint="default"/>
        <w:lang w:val="en-US" w:eastAsia="en-US" w:bidi="en-US"/>
      </w:rPr>
    </w:lvl>
    <w:lvl w:ilvl="3" w:tplc="1E3AFFD0">
      <w:numFmt w:val="bullet"/>
      <w:lvlText w:val="•"/>
      <w:lvlJc w:val="left"/>
      <w:pPr>
        <w:ind w:left="3372" w:hanging="360"/>
      </w:pPr>
      <w:rPr>
        <w:rFonts w:hint="default"/>
        <w:lang w:val="en-US" w:eastAsia="en-US" w:bidi="en-US"/>
      </w:rPr>
    </w:lvl>
    <w:lvl w:ilvl="4" w:tplc="62FCB746">
      <w:numFmt w:val="bullet"/>
      <w:lvlText w:val="•"/>
      <w:lvlJc w:val="left"/>
      <w:pPr>
        <w:ind w:left="4336" w:hanging="360"/>
      </w:pPr>
      <w:rPr>
        <w:rFonts w:hint="default"/>
        <w:lang w:val="en-US" w:eastAsia="en-US" w:bidi="en-US"/>
      </w:rPr>
    </w:lvl>
    <w:lvl w:ilvl="5" w:tplc="714AAC40">
      <w:numFmt w:val="bullet"/>
      <w:lvlText w:val="•"/>
      <w:lvlJc w:val="left"/>
      <w:pPr>
        <w:ind w:left="5300" w:hanging="360"/>
      </w:pPr>
      <w:rPr>
        <w:rFonts w:hint="default"/>
        <w:lang w:val="en-US" w:eastAsia="en-US" w:bidi="en-US"/>
      </w:rPr>
    </w:lvl>
    <w:lvl w:ilvl="6" w:tplc="A9CC770C">
      <w:numFmt w:val="bullet"/>
      <w:lvlText w:val="•"/>
      <w:lvlJc w:val="left"/>
      <w:pPr>
        <w:ind w:left="6264" w:hanging="360"/>
      </w:pPr>
      <w:rPr>
        <w:rFonts w:hint="default"/>
        <w:lang w:val="en-US" w:eastAsia="en-US" w:bidi="en-US"/>
      </w:rPr>
    </w:lvl>
    <w:lvl w:ilvl="7" w:tplc="A9FC9B3C">
      <w:numFmt w:val="bullet"/>
      <w:lvlText w:val="•"/>
      <w:lvlJc w:val="left"/>
      <w:pPr>
        <w:ind w:left="7228" w:hanging="360"/>
      </w:pPr>
      <w:rPr>
        <w:rFonts w:hint="default"/>
        <w:lang w:val="en-US" w:eastAsia="en-US" w:bidi="en-US"/>
      </w:rPr>
    </w:lvl>
    <w:lvl w:ilvl="8" w:tplc="D548CDE0">
      <w:numFmt w:val="bullet"/>
      <w:lvlText w:val="•"/>
      <w:lvlJc w:val="left"/>
      <w:pPr>
        <w:ind w:left="8192" w:hanging="360"/>
      </w:pPr>
      <w:rPr>
        <w:rFonts w:hint="default"/>
        <w:lang w:val="en-US" w:eastAsia="en-US" w:bidi="en-US"/>
      </w:rPr>
    </w:lvl>
  </w:abstractNum>
  <w:abstractNum w:abstractNumId="3" w15:restartNumberingAfterBreak="0">
    <w:nsid w:val="48D548F0"/>
    <w:multiLevelType w:val="hybridMultilevel"/>
    <w:tmpl w:val="C262DCD2"/>
    <w:lvl w:ilvl="0" w:tplc="1ABAD722">
      <w:start w:val="14"/>
      <w:numFmt w:val="decimal"/>
      <w:lvlText w:val="%1."/>
      <w:lvlJc w:val="left"/>
      <w:pPr>
        <w:ind w:left="461" w:hanging="360"/>
        <w:jc w:val="left"/>
      </w:pPr>
      <w:rPr>
        <w:rFonts w:ascii="Arial" w:eastAsia="Arial" w:hAnsi="Arial" w:cs="Arial" w:hint="default"/>
        <w:w w:val="100"/>
        <w:sz w:val="20"/>
        <w:szCs w:val="20"/>
        <w:lang w:val="en-US" w:eastAsia="en-US" w:bidi="en-US"/>
      </w:rPr>
    </w:lvl>
    <w:lvl w:ilvl="1" w:tplc="C1B6FB56">
      <w:numFmt w:val="bullet"/>
      <w:lvlText w:val="•"/>
      <w:lvlJc w:val="left"/>
      <w:pPr>
        <w:ind w:left="1426" w:hanging="360"/>
      </w:pPr>
      <w:rPr>
        <w:rFonts w:hint="default"/>
        <w:lang w:val="en-US" w:eastAsia="en-US" w:bidi="en-US"/>
      </w:rPr>
    </w:lvl>
    <w:lvl w:ilvl="2" w:tplc="A54850EA">
      <w:numFmt w:val="bullet"/>
      <w:lvlText w:val="•"/>
      <w:lvlJc w:val="left"/>
      <w:pPr>
        <w:ind w:left="2392" w:hanging="360"/>
      </w:pPr>
      <w:rPr>
        <w:rFonts w:hint="default"/>
        <w:lang w:val="en-US" w:eastAsia="en-US" w:bidi="en-US"/>
      </w:rPr>
    </w:lvl>
    <w:lvl w:ilvl="3" w:tplc="AF0ABF7E">
      <w:numFmt w:val="bullet"/>
      <w:lvlText w:val="•"/>
      <w:lvlJc w:val="left"/>
      <w:pPr>
        <w:ind w:left="3358" w:hanging="360"/>
      </w:pPr>
      <w:rPr>
        <w:rFonts w:hint="default"/>
        <w:lang w:val="en-US" w:eastAsia="en-US" w:bidi="en-US"/>
      </w:rPr>
    </w:lvl>
    <w:lvl w:ilvl="4" w:tplc="ED1A7C8A">
      <w:numFmt w:val="bullet"/>
      <w:lvlText w:val="•"/>
      <w:lvlJc w:val="left"/>
      <w:pPr>
        <w:ind w:left="4324" w:hanging="360"/>
      </w:pPr>
      <w:rPr>
        <w:rFonts w:hint="default"/>
        <w:lang w:val="en-US" w:eastAsia="en-US" w:bidi="en-US"/>
      </w:rPr>
    </w:lvl>
    <w:lvl w:ilvl="5" w:tplc="1D8E56FC">
      <w:numFmt w:val="bullet"/>
      <w:lvlText w:val="•"/>
      <w:lvlJc w:val="left"/>
      <w:pPr>
        <w:ind w:left="5290" w:hanging="360"/>
      </w:pPr>
      <w:rPr>
        <w:rFonts w:hint="default"/>
        <w:lang w:val="en-US" w:eastAsia="en-US" w:bidi="en-US"/>
      </w:rPr>
    </w:lvl>
    <w:lvl w:ilvl="6" w:tplc="9BF6BEA0">
      <w:numFmt w:val="bullet"/>
      <w:lvlText w:val="•"/>
      <w:lvlJc w:val="left"/>
      <w:pPr>
        <w:ind w:left="6256" w:hanging="360"/>
      </w:pPr>
      <w:rPr>
        <w:rFonts w:hint="default"/>
        <w:lang w:val="en-US" w:eastAsia="en-US" w:bidi="en-US"/>
      </w:rPr>
    </w:lvl>
    <w:lvl w:ilvl="7" w:tplc="AA0C3ABA">
      <w:numFmt w:val="bullet"/>
      <w:lvlText w:val="•"/>
      <w:lvlJc w:val="left"/>
      <w:pPr>
        <w:ind w:left="7222" w:hanging="360"/>
      </w:pPr>
      <w:rPr>
        <w:rFonts w:hint="default"/>
        <w:lang w:val="en-US" w:eastAsia="en-US" w:bidi="en-US"/>
      </w:rPr>
    </w:lvl>
    <w:lvl w:ilvl="8" w:tplc="538A3BDE">
      <w:numFmt w:val="bullet"/>
      <w:lvlText w:val="•"/>
      <w:lvlJc w:val="left"/>
      <w:pPr>
        <w:ind w:left="8188" w:hanging="360"/>
      </w:pPr>
      <w:rPr>
        <w:rFonts w:hint="default"/>
        <w:lang w:val="en-US" w:eastAsia="en-US" w:bidi="en-US"/>
      </w:rPr>
    </w:lvl>
  </w:abstractNum>
  <w:abstractNum w:abstractNumId="4" w15:restartNumberingAfterBreak="0">
    <w:nsid w:val="52DA4287"/>
    <w:multiLevelType w:val="hybridMultilevel"/>
    <w:tmpl w:val="F4FE7F74"/>
    <w:lvl w:ilvl="0" w:tplc="2ADEEF56">
      <w:start w:val="1"/>
      <w:numFmt w:val="decimal"/>
      <w:lvlText w:val="%1."/>
      <w:lvlJc w:val="left"/>
      <w:pPr>
        <w:ind w:left="461" w:hanging="360"/>
        <w:jc w:val="left"/>
      </w:pPr>
      <w:rPr>
        <w:rFonts w:ascii="Arial" w:eastAsia="Arial" w:hAnsi="Arial" w:cs="Arial" w:hint="default"/>
        <w:w w:val="100"/>
        <w:sz w:val="20"/>
        <w:szCs w:val="20"/>
        <w:lang w:val="en-US" w:eastAsia="en-US" w:bidi="en-US"/>
      </w:rPr>
    </w:lvl>
    <w:lvl w:ilvl="1" w:tplc="358453EE">
      <w:numFmt w:val="bullet"/>
      <w:lvlText w:val="•"/>
      <w:lvlJc w:val="left"/>
      <w:pPr>
        <w:ind w:left="1426" w:hanging="360"/>
      </w:pPr>
      <w:rPr>
        <w:rFonts w:hint="default"/>
        <w:lang w:val="en-US" w:eastAsia="en-US" w:bidi="en-US"/>
      </w:rPr>
    </w:lvl>
    <w:lvl w:ilvl="2" w:tplc="3EE89434">
      <w:numFmt w:val="bullet"/>
      <w:lvlText w:val="•"/>
      <w:lvlJc w:val="left"/>
      <w:pPr>
        <w:ind w:left="2392" w:hanging="360"/>
      </w:pPr>
      <w:rPr>
        <w:rFonts w:hint="default"/>
        <w:lang w:val="en-US" w:eastAsia="en-US" w:bidi="en-US"/>
      </w:rPr>
    </w:lvl>
    <w:lvl w:ilvl="3" w:tplc="F25662AC">
      <w:numFmt w:val="bullet"/>
      <w:lvlText w:val="•"/>
      <w:lvlJc w:val="left"/>
      <w:pPr>
        <w:ind w:left="3358" w:hanging="360"/>
      </w:pPr>
      <w:rPr>
        <w:rFonts w:hint="default"/>
        <w:lang w:val="en-US" w:eastAsia="en-US" w:bidi="en-US"/>
      </w:rPr>
    </w:lvl>
    <w:lvl w:ilvl="4" w:tplc="DCE4CE52">
      <w:numFmt w:val="bullet"/>
      <w:lvlText w:val="•"/>
      <w:lvlJc w:val="left"/>
      <w:pPr>
        <w:ind w:left="4324" w:hanging="360"/>
      </w:pPr>
      <w:rPr>
        <w:rFonts w:hint="default"/>
        <w:lang w:val="en-US" w:eastAsia="en-US" w:bidi="en-US"/>
      </w:rPr>
    </w:lvl>
    <w:lvl w:ilvl="5" w:tplc="B380B44A">
      <w:numFmt w:val="bullet"/>
      <w:lvlText w:val="•"/>
      <w:lvlJc w:val="left"/>
      <w:pPr>
        <w:ind w:left="5290" w:hanging="360"/>
      </w:pPr>
      <w:rPr>
        <w:rFonts w:hint="default"/>
        <w:lang w:val="en-US" w:eastAsia="en-US" w:bidi="en-US"/>
      </w:rPr>
    </w:lvl>
    <w:lvl w:ilvl="6" w:tplc="2BDE31C4">
      <w:numFmt w:val="bullet"/>
      <w:lvlText w:val="•"/>
      <w:lvlJc w:val="left"/>
      <w:pPr>
        <w:ind w:left="6256" w:hanging="360"/>
      </w:pPr>
      <w:rPr>
        <w:rFonts w:hint="default"/>
        <w:lang w:val="en-US" w:eastAsia="en-US" w:bidi="en-US"/>
      </w:rPr>
    </w:lvl>
    <w:lvl w:ilvl="7" w:tplc="B9EE537A">
      <w:numFmt w:val="bullet"/>
      <w:lvlText w:val="•"/>
      <w:lvlJc w:val="left"/>
      <w:pPr>
        <w:ind w:left="7222" w:hanging="360"/>
      </w:pPr>
      <w:rPr>
        <w:rFonts w:hint="default"/>
        <w:lang w:val="en-US" w:eastAsia="en-US" w:bidi="en-US"/>
      </w:rPr>
    </w:lvl>
    <w:lvl w:ilvl="8" w:tplc="C8723B66">
      <w:numFmt w:val="bullet"/>
      <w:lvlText w:val="•"/>
      <w:lvlJc w:val="left"/>
      <w:pPr>
        <w:ind w:left="8188" w:hanging="360"/>
      </w:pPr>
      <w:rPr>
        <w:rFonts w:hint="default"/>
        <w:lang w:val="en-US" w:eastAsia="en-US" w:bidi="en-US"/>
      </w:rPr>
    </w:lvl>
  </w:abstractNum>
  <w:abstractNum w:abstractNumId="5" w15:restartNumberingAfterBreak="0">
    <w:nsid w:val="57325208"/>
    <w:multiLevelType w:val="hybridMultilevel"/>
    <w:tmpl w:val="8DF0BAB4"/>
    <w:lvl w:ilvl="0" w:tplc="3D065E90">
      <w:start w:val="1"/>
      <w:numFmt w:val="decimal"/>
      <w:lvlText w:val="%1."/>
      <w:lvlJc w:val="left"/>
      <w:pPr>
        <w:ind w:left="521" w:hanging="360"/>
        <w:jc w:val="left"/>
      </w:pPr>
      <w:rPr>
        <w:rFonts w:ascii="Arial" w:eastAsia="Arial" w:hAnsi="Arial" w:cs="Arial" w:hint="default"/>
        <w:spacing w:val="-6"/>
        <w:w w:val="100"/>
        <w:sz w:val="20"/>
        <w:szCs w:val="20"/>
        <w:lang w:val="en-US" w:eastAsia="en-US" w:bidi="en-US"/>
      </w:rPr>
    </w:lvl>
    <w:lvl w:ilvl="1" w:tplc="1EEA6FEC">
      <w:numFmt w:val="bullet"/>
      <w:lvlText w:val="•"/>
      <w:lvlJc w:val="left"/>
      <w:pPr>
        <w:ind w:left="1480" w:hanging="360"/>
      </w:pPr>
      <w:rPr>
        <w:rFonts w:hint="default"/>
        <w:lang w:val="en-US" w:eastAsia="en-US" w:bidi="en-US"/>
      </w:rPr>
    </w:lvl>
    <w:lvl w:ilvl="2" w:tplc="1F4643BA">
      <w:numFmt w:val="bullet"/>
      <w:lvlText w:val="•"/>
      <w:lvlJc w:val="left"/>
      <w:pPr>
        <w:ind w:left="2440" w:hanging="360"/>
      </w:pPr>
      <w:rPr>
        <w:rFonts w:hint="default"/>
        <w:lang w:val="en-US" w:eastAsia="en-US" w:bidi="en-US"/>
      </w:rPr>
    </w:lvl>
    <w:lvl w:ilvl="3" w:tplc="A8FAF3F0">
      <w:numFmt w:val="bullet"/>
      <w:lvlText w:val="•"/>
      <w:lvlJc w:val="left"/>
      <w:pPr>
        <w:ind w:left="3400" w:hanging="360"/>
      </w:pPr>
      <w:rPr>
        <w:rFonts w:hint="default"/>
        <w:lang w:val="en-US" w:eastAsia="en-US" w:bidi="en-US"/>
      </w:rPr>
    </w:lvl>
    <w:lvl w:ilvl="4" w:tplc="E664106E">
      <w:numFmt w:val="bullet"/>
      <w:lvlText w:val="•"/>
      <w:lvlJc w:val="left"/>
      <w:pPr>
        <w:ind w:left="4360" w:hanging="360"/>
      </w:pPr>
      <w:rPr>
        <w:rFonts w:hint="default"/>
        <w:lang w:val="en-US" w:eastAsia="en-US" w:bidi="en-US"/>
      </w:rPr>
    </w:lvl>
    <w:lvl w:ilvl="5" w:tplc="B41289B6">
      <w:numFmt w:val="bullet"/>
      <w:lvlText w:val="•"/>
      <w:lvlJc w:val="left"/>
      <w:pPr>
        <w:ind w:left="5320" w:hanging="360"/>
      </w:pPr>
      <w:rPr>
        <w:rFonts w:hint="default"/>
        <w:lang w:val="en-US" w:eastAsia="en-US" w:bidi="en-US"/>
      </w:rPr>
    </w:lvl>
    <w:lvl w:ilvl="6" w:tplc="98E63EA6">
      <w:numFmt w:val="bullet"/>
      <w:lvlText w:val="•"/>
      <w:lvlJc w:val="left"/>
      <w:pPr>
        <w:ind w:left="6280" w:hanging="360"/>
      </w:pPr>
      <w:rPr>
        <w:rFonts w:hint="default"/>
        <w:lang w:val="en-US" w:eastAsia="en-US" w:bidi="en-US"/>
      </w:rPr>
    </w:lvl>
    <w:lvl w:ilvl="7" w:tplc="C3F2B3A4">
      <w:numFmt w:val="bullet"/>
      <w:lvlText w:val="•"/>
      <w:lvlJc w:val="left"/>
      <w:pPr>
        <w:ind w:left="7240" w:hanging="360"/>
      </w:pPr>
      <w:rPr>
        <w:rFonts w:hint="default"/>
        <w:lang w:val="en-US" w:eastAsia="en-US" w:bidi="en-US"/>
      </w:rPr>
    </w:lvl>
    <w:lvl w:ilvl="8" w:tplc="4DDEBD26">
      <w:numFmt w:val="bullet"/>
      <w:lvlText w:val="•"/>
      <w:lvlJc w:val="left"/>
      <w:pPr>
        <w:ind w:left="8200" w:hanging="360"/>
      </w:pPr>
      <w:rPr>
        <w:rFonts w:hint="default"/>
        <w:lang w:val="en-US" w:eastAsia="en-US" w:bidi="en-US"/>
      </w:rPr>
    </w:lvl>
  </w:abstractNum>
  <w:num w:numId="1" w16cid:durableId="751701376">
    <w:abstractNumId w:val="2"/>
  </w:num>
  <w:num w:numId="2" w16cid:durableId="610280628">
    <w:abstractNumId w:val="0"/>
  </w:num>
  <w:num w:numId="3" w16cid:durableId="373893538">
    <w:abstractNumId w:val="5"/>
  </w:num>
  <w:num w:numId="4" w16cid:durableId="468327567">
    <w:abstractNumId w:val="3"/>
  </w:num>
  <w:num w:numId="5" w16cid:durableId="1638216235">
    <w:abstractNumId w:val="1"/>
  </w:num>
  <w:num w:numId="6" w16cid:durableId="2018655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9C"/>
    <w:rsid w:val="001D4BF6"/>
    <w:rsid w:val="005A709C"/>
    <w:rsid w:val="00B0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0A2CA6"/>
  <w15:docId w15:val="{A31706D3-1ADD-4B44-89D8-896C67C1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2"/>
      <w:ind w:left="197"/>
      <w:outlineLvl w:val="0"/>
    </w:pPr>
    <w:rPr>
      <w:b/>
      <w:bCs/>
      <w:sz w:val="24"/>
      <w:szCs w:val="24"/>
    </w:rPr>
  </w:style>
  <w:style w:type="paragraph" w:styleId="Heading2">
    <w:name w:val="heading 2"/>
    <w:basedOn w:val="Normal"/>
    <w:uiPriority w:val="9"/>
    <w:unhideWhenUsed/>
    <w:qFormat/>
    <w:pPr>
      <w:ind w:left="197"/>
      <w:outlineLvl w:val="1"/>
    </w:pPr>
    <w:rPr>
      <w:b/>
      <w:bCs/>
      <w:i/>
    </w:rPr>
  </w:style>
  <w:style w:type="paragraph" w:styleId="Heading3">
    <w:name w:val="heading 3"/>
    <w:basedOn w:val="Normal"/>
    <w:uiPriority w:val="9"/>
    <w:unhideWhenUsed/>
    <w:qFormat/>
    <w:pPr>
      <w:ind w:left="19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2"/>
      <w:ind w:left="461" w:hanging="361"/>
    </w:pPr>
  </w:style>
  <w:style w:type="paragraph" w:customStyle="1" w:styleId="TableParagraph">
    <w:name w:val="Table Paragraph"/>
    <w:basedOn w:val="Normal"/>
    <w:uiPriority w:val="1"/>
    <w:qFormat/>
    <w:pPr>
      <w:spacing w:before="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tterCare@cms.hhs.gov" TargetMode="External"/><Relationship Id="rId13" Type="http://schemas.openxmlformats.org/officeDocument/2006/relationships/hyperlink" Target="http://www.cms.gov/Medicare/Provider-Enrollment-and-Certification/CertificationandComplianc/downloads/usersguide.pdf" TargetMode="External"/><Relationship Id="rId18" Type="http://schemas.openxmlformats.org/officeDocument/2006/relationships/hyperlink" Target="http://www.cms.gov/files/document/snfqrp-covid19prtipsheet-october2020.pdf" TargetMode="External"/><Relationship Id="rId3" Type="http://schemas.openxmlformats.org/officeDocument/2006/relationships/settings" Target="settings.xml"/><Relationship Id="rId21" Type="http://schemas.openxmlformats.org/officeDocument/2006/relationships/hyperlink" Target="http://www.cms.gov/Center/Provider-Type/Skilled-Nursing-Facility-Center" TargetMode="Externa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http://www.cms.gov/Medicare/Quality-Initiatives-Patient-Assessment-Instruments/NursingHomeQualityInits/NHQIQualityMeasure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ms.gov/files/document/qso-22-08-nh.pdf" TargetMode="External"/><Relationship Id="rId20" Type="http://schemas.openxmlformats.org/officeDocument/2006/relationships/hyperlink" Target="http://www.cms.gov/Medicare/Medicare-Fee-for-Service-Payment/SNFPPS/List-of-SNF-Federal-Regul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medicare/provider-enrollment-and-certification/certificationandcomplianc/downloads/usersguide.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QIES@cms.hhs.gov" TargetMode="External"/><Relationship Id="rId23" Type="http://schemas.openxmlformats.org/officeDocument/2006/relationships/hyperlink" Target="mailto:SNFQualityQuestions@cms.hhs.gov" TargetMode="External"/><Relationship Id="rId10" Type="http://schemas.openxmlformats.org/officeDocument/2006/relationships/hyperlink" Target="https://www.cms.gov/medicare/provider-enrollment-and-certification/certificationandcomplianc/downloads/usersguide.pdf" TargetMode="External"/><Relationship Id="rId19" Type="http://schemas.openxmlformats.org/officeDocument/2006/relationships/hyperlink" Target="http://www.cms.gov/Medicare/Quality-Initiatives-Patient-Assessment-Instruments/NursingHomeQualityInits/" TargetMode="External"/><Relationship Id="rId4" Type="http://schemas.openxmlformats.org/officeDocument/2006/relationships/webSettings" Target="webSettings.xml"/><Relationship Id="rId9" Type="http://schemas.openxmlformats.org/officeDocument/2006/relationships/hyperlink" Target="https://www.cms.gov/medicare/health-safety-standards/quality-safety-oversight-general-information/policy-memos/policy-memos-states-and-cms-locations/updates-nursing-home-care-compare" TargetMode="External"/><Relationship Id="rId14" Type="http://schemas.openxmlformats.org/officeDocument/2006/relationships/hyperlink" Target="http://www.cms.gov/Medicare/Quality-Initiatives-Patient-Assessment-Instruments/NursingHomeQualityInits/Staffing-Data-Submission-PBJ.html" TargetMode="External"/><Relationship Id="rId22" Type="http://schemas.openxmlformats.org/officeDocument/2006/relationships/hyperlink" Target="http://www.cms.gov/Medicare/Quality-Initiatives-Patient-Assessment-Instruments/NursingHomeQualityIn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3825</Words>
  <Characters>25056</Characters>
  <Application>Microsoft Office Word</Application>
  <DocSecurity>0</DocSecurity>
  <Lines>642</Lines>
  <Paragraphs>307</Paragraphs>
  <ScaleCrop>false</ScaleCrop>
  <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Herod, Lindsay</dc:creator>
  <cp:lastModifiedBy>Herod, Lindsay</cp:lastModifiedBy>
  <cp:revision>2</cp:revision>
  <dcterms:created xsi:type="dcterms:W3CDTF">2025-12-16T18:19:00Z</dcterms:created>
  <dcterms:modified xsi:type="dcterms:W3CDTF">2025-12-16T18:19:00Z</dcterms:modified>
</cp:coreProperties>
</file>